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845307" w:rsidRDefault="00A52BB6" w:rsidP="00A52BB6">
      <w:pPr>
        <w:suppressAutoHyphens/>
        <w:ind w:right="20"/>
        <w:jc w:val="center"/>
        <w:rPr>
          <w:rFonts w:eastAsia="Calibri"/>
          <w:bCs/>
          <w:szCs w:val="24"/>
          <w:lang w:eastAsia="en-US"/>
        </w:rPr>
      </w:pPr>
      <w:r w:rsidRPr="00845307">
        <w:rPr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1067EEC" wp14:editId="613FF34E">
            <wp:simplePos x="0" y="0"/>
            <wp:positionH relativeFrom="page">
              <wp:posOffset>3431540</wp:posOffset>
            </wp:positionH>
            <wp:positionV relativeFrom="paragraph">
              <wp:posOffset>-15875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Pr="00180B82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180B82">
        <w:rPr>
          <w:rFonts w:eastAsia="Calibri"/>
          <w:b/>
          <w:bCs/>
          <w:szCs w:val="24"/>
          <w:lang w:eastAsia="en-US"/>
        </w:rPr>
        <w:t>АДМИНИСТРАЦИЯ</w:t>
      </w:r>
    </w:p>
    <w:p w:rsidR="00A52BB6" w:rsidRPr="00180B82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180B82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A52BB6" w:rsidRPr="00180B82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180B82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 w:rsidRPr="00180B82">
        <w:rPr>
          <w:rFonts w:eastAsia="Calibri"/>
          <w:bCs/>
          <w:szCs w:val="24"/>
          <w:lang w:eastAsia="en-US"/>
        </w:rPr>
        <w:t xml:space="preserve">       </w:t>
      </w:r>
      <w:r w:rsidR="00A52BB6" w:rsidRPr="00180B82">
        <w:rPr>
          <w:rFonts w:eastAsia="Calibri"/>
          <w:bCs/>
          <w:szCs w:val="24"/>
          <w:lang w:eastAsia="en-US"/>
        </w:rPr>
        <w:t>ПОСТАНОВЛЕНИЕ</w:t>
      </w:r>
    </w:p>
    <w:p w:rsidR="00A52BB6" w:rsidRPr="00180B82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180B82" w:rsidTr="00845307">
        <w:trPr>
          <w:trHeight w:val="315"/>
        </w:trPr>
        <w:tc>
          <w:tcPr>
            <w:tcW w:w="2891" w:type="dxa"/>
            <w:hideMark/>
          </w:tcPr>
          <w:p w:rsidR="00A52BB6" w:rsidRPr="00180B82" w:rsidRDefault="00362717" w:rsidP="00366B7B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180B82">
              <w:rPr>
                <w:rFonts w:eastAsia="Calibri"/>
                <w:szCs w:val="24"/>
                <w:lang w:eastAsia="en-US"/>
              </w:rPr>
              <w:t>«</w:t>
            </w:r>
            <w:r w:rsidR="00366B7B" w:rsidRPr="00180B82">
              <w:rPr>
                <w:rFonts w:eastAsia="Calibri"/>
                <w:szCs w:val="24"/>
                <w:lang w:eastAsia="en-US"/>
              </w:rPr>
              <w:t>23</w:t>
            </w:r>
            <w:r w:rsidR="009E0366" w:rsidRPr="00180B82">
              <w:rPr>
                <w:rFonts w:eastAsia="Calibri"/>
                <w:szCs w:val="24"/>
                <w:lang w:eastAsia="en-US"/>
              </w:rPr>
              <w:t xml:space="preserve">» </w:t>
            </w:r>
            <w:r w:rsidRPr="00180B82">
              <w:rPr>
                <w:rFonts w:eastAsia="Calibri"/>
                <w:szCs w:val="24"/>
                <w:lang w:eastAsia="en-US"/>
              </w:rPr>
              <w:t xml:space="preserve"> </w:t>
            </w:r>
            <w:r w:rsidR="00366B7B" w:rsidRPr="00180B82">
              <w:rPr>
                <w:rFonts w:eastAsia="Calibri"/>
                <w:szCs w:val="24"/>
                <w:lang w:eastAsia="en-US"/>
              </w:rPr>
              <w:t>сентября</w:t>
            </w:r>
            <w:r w:rsidR="00D17372" w:rsidRPr="00180B82">
              <w:rPr>
                <w:rFonts w:eastAsia="Calibri"/>
                <w:szCs w:val="24"/>
                <w:lang w:eastAsia="en-US"/>
              </w:rPr>
              <w:t xml:space="preserve"> 2019</w:t>
            </w:r>
            <w:r w:rsidRPr="00180B82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180B82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180B82" w:rsidRDefault="00180B82" w:rsidP="00180B82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180B82">
              <w:rPr>
                <w:rFonts w:eastAsia="Calibri"/>
                <w:szCs w:val="24"/>
                <w:lang w:eastAsia="en-US"/>
              </w:rPr>
              <w:t xml:space="preserve">          </w:t>
            </w:r>
            <w:r w:rsidR="00845307" w:rsidRPr="00180B82">
              <w:rPr>
                <w:rFonts w:eastAsia="Calibri"/>
                <w:szCs w:val="24"/>
                <w:lang w:eastAsia="en-US"/>
              </w:rPr>
              <w:t xml:space="preserve">  </w:t>
            </w:r>
            <w:r w:rsidR="00230B4E">
              <w:rPr>
                <w:rFonts w:eastAsia="Calibri"/>
                <w:szCs w:val="24"/>
                <w:lang w:eastAsia="en-US"/>
              </w:rPr>
              <w:t xml:space="preserve">        </w:t>
            </w:r>
            <w:r w:rsidR="00A52BB6" w:rsidRPr="00180B82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A52BB6" w:rsidRPr="00180B82" w:rsidRDefault="00845307" w:rsidP="00180B82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180B82">
              <w:rPr>
                <w:rFonts w:eastAsia="Calibri"/>
                <w:szCs w:val="24"/>
                <w:lang w:eastAsia="en-US"/>
              </w:rPr>
              <w:t xml:space="preserve"> </w:t>
            </w:r>
            <w:r w:rsidR="00230B4E">
              <w:rPr>
                <w:rFonts w:eastAsia="Calibri"/>
                <w:szCs w:val="24"/>
                <w:lang w:eastAsia="en-US"/>
              </w:rPr>
              <w:t xml:space="preserve">                         </w:t>
            </w:r>
            <w:r w:rsidRPr="00180B82">
              <w:rPr>
                <w:rFonts w:eastAsia="Calibri"/>
                <w:szCs w:val="24"/>
                <w:lang w:eastAsia="en-US"/>
              </w:rPr>
              <w:t xml:space="preserve"> </w:t>
            </w:r>
            <w:r w:rsidR="00366B7B" w:rsidRPr="00180B82">
              <w:rPr>
                <w:rFonts w:eastAsia="Calibri"/>
                <w:szCs w:val="24"/>
                <w:lang w:eastAsia="en-US"/>
              </w:rPr>
              <w:t>№</w:t>
            </w:r>
            <w:r w:rsidR="00230B4E">
              <w:rPr>
                <w:rFonts w:eastAsia="Calibri"/>
                <w:szCs w:val="24"/>
                <w:lang w:eastAsia="en-US"/>
              </w:rPr>
              <w:t xml:space="preserve"> 48</w:t>
            </w:r>
          </w:p>
        </w:tc>
      </w:tr>
    </w:tbl>
    <w:p w:rsidR="00A52BB6" w:rsidRPr="00180B82" w:rsidRDefault="00A52BB6" w:rsidP="00845307">
      <w:pPr>
        <w:ind w:firstLine="709"/>
        <w:jc w:val="center"/>
        <w:rPr>
          <w:szCs w:val="24"/>
        </w:rPr>
      </w:pPr>
    </w:p>
    <w:p w:rsidR="00180B82" w:rsidRDefault="00180B82" w:rsidP="00366B7B">
      <w:pPr>
        <w:shd w:val="clear" w:color="auto" w:fill="FFFFFF"/>
        <w:jc w:val="center"/>
        <w:rPr>
          <w:color w:val="000000"/>
          <w:szCs w:val="24"/>
        </w:rPr>
      </w:pPr>
    </w:p>
    <w:p w:rsidR="001F4D8E" w:rsidRPr="00180B82" w:rsidRDefault="00366B7B" w:rsidP="00366B7B">
      <w:pPr>
        <w:shd w:val="clear" w:color="auto" w:fill="FFFFFF"/>
        <w:jc w:val="center"/>
        <w:rPr>
          <w:color w:val="000000"/>
          <w:szCs w:val="24"/>
        </w:rPr>
      </w:pPr>
      <w:r w:rsidRPr="00180B82">
        <w:rPr>
          <w:color w:val="000000"/>
          <w:szCs w:val="24"/>
        </w:rPr>
        <w:t>Об утверждении программы «Комплексное развитие социальной инфраструктуры Краснокутского сельского поселения на 2019-2020 годы»</w:t>
      </w:r>
    </w:p>
    <w:p w:rsidR="001F4D8E" w:rsidRPr="00180B82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 </w:t>
      </w:r>
    </w:p>
    <w:p w:rsidR="00366B7B" w:rsidRPr="00180B82" w:rsidRDefault="00366B7B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proofErr w:type="gramStart"/>
      <w:r w:rsidRPr="00180B82">
        <w:rPr>
          <w:color w:val="000000"/>
          <w:szCs w:val="24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«1050 «Об утверждении требований к программам комплексного развития социальной инфраструктуры поселений, городских округов», решением муниципального комитета Краснокутского сельского поселения от 05 ноября 2013 г. « Об утверждении генерального плана Краснокутского сельского поселения</w:t>
      </w:r>
      <w:proofErr w:type="gramEnd"/>
      <w:r w:rsidRPr="00180B82">
        <w:rPr>
          <w:color w:val="000000"/>
          <w:szCs w:val="24"/>
        </w:rPr>
        <w:t xml:space="preserve"> Спасского муниципального района Приморского края», на основании Устава Краснокутского сельского полселения, администрация Краснокутского сельского поселения</w:t>
      </w:r>
    </w:p>
    <w:p w:rsidR="00845307" w:rsidRPr="00180B82" w:rsidRDefault="00845307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1F4D8E" w:rsidRPr="00180B82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 постановляет:</w:t>
      </w:r>
    </w:p>
    <w:p w:rsidR="00180B82" w:rsidRDefault="00180B82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366B7B" w:rsidRPr="00180B82" w:rsidRDefault="001F4D8E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 xml:space="preserve"> 1. Утвердить </w:t>
      </w:r>
      <w:r w:rsidR="00366B7B" w:rsidRPr="00180B82">
        <w:rPr>
          <w:color w:val="000000"/>
          <w:szCs w:val="24"/>
        </w:rPr>
        <w:t>программу «Комплексное развитие социальной инфраструктуры Краснокутского сельского поселения на 2019-2020 годы» (прил</w:t>
      </w:r>
      <w:r w:rsidR="00BB76EB" w:rsidRPr="00180B82">
        <w:rPr>
          <w:color w:val="000000"/>
          <w:szCs w:val="24"/>
        </w:rPr>
        <w:t>а</w:t>
      </w:r>
      <w:r w:rsidR="00366B7B" w:rsidRPr="00180B82">
        <w:rPr>
          <w:color w:val="000000"/>
          <w:szCs w:val="24"/>
        </w:rPr>
        <w:t>гается)</w:t>
      </w:r>
    </w:p>
    <w:p w:rsidR="00F1569C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 xml:space="preserve">2.Настоящее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180B82">
        <w:rPr>
          <w:color w:val="000000"/>
          <w:szCs w:val="24"/>
        </w:rPr>
        <w:t>краснокутское.рф</w:t>
      </w:r>
      <w:proofErr w:type="spellEnd"/>
      <w:r w:rsidRPr="00180B82">
        <w:rPr>
          <w:color w:val="000000"/>
          <w:szCs w:val="24"/>
        </w:rPr>
        <w:t>.</w:t>
      </w: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F1569C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3.</w:t>
      </w:r>
      <w:proofErr w:type="gramStart"/>
      <w:r w:rsidRPr="00180B82">
        <w:rPr>
          <w:color w:val="000000"/>
          <w:szCs w:val="24"/>
        </w:rPr>
        <w:t>Контроль за</w:t>
      </w:r>
      <w:proofErr w:type="gramEnd"/>
      <w:r w:rsidRPr="00180B82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F1569C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Pr="00180B82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1F4D8E" w:rsidRPr="00180B82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180B82">
        <w:rPr>
          <w:color w:val="000000"/>
          <w:szCs w:val="24"/>
        </w:rPr>
        <w:t>Глава Краснокутского сельского поселения</w:t>
      </w:r>
      <w:r w:rsidRPr="00180B82">
        <w:rPr>
          <w:color w:val="000000"/>
          <w:szCs w:val="24"/>
        </w:rPr>
        <w:tab/>
      </w:r>
      <w:r w:rsidRPr="00180B82">
        <w:rPr>
          <w:color w:val="000000"/>
          <w:szCs w:val="24"/>
        </w:rPr>
        <w:tab/>
        <w:t xml:space="preserve">                   </w:t>
      </w:r>
      <w:r w:rsidRPr="00180B82">
        <w:rPr>
          <w:color w:val="000000"/>
          <w:szCs w:val="24"/>
        </w:rPr>
        <w:tab/>
        <w:t xml:space="preserve">            А.Б. Петриченко     </w:t>
      </w:r>
    </w:p>
    <w:p w:rsidR="001F4D8E" w:rsidRPr="00180B82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80B82">
        <w:rPr>
          <w:color w:val="000000"/>
          <w:szCs w:val="24"/>
        </w:rPr>
        <w:t> </w:t>
      </w:r>
    </w:p>
    <w:p w:rsidR="00F1569C" w:rsidRPr="00180B82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180B82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Default="00F1569C" w:rsidP="00180B82">
      <w:pPr>
        <w:shd w:val="clear" w:color="auto" w:fill="FFFFFF"/>
        <w:rPr>
          <w:color w:val="000000"/>
          <w:szCs w:val="24"/>
        </w:rPr>
      </w:pPr>
    </w:p>
    <w:p w:rsidR="00180B82" w:rsidRPr="00180B82" w:rsidRDefault="00180B82" w:rsidP="00180B82">
      <w:pPr>
        <w:shd w:val="clear" w:color="auto" w:fill="FFFFFF"/>
        <w:rPr>
          <w:color w:val="000000"/>
          <w:szCs w:val="24"/>
        </w:rPr>
      </w:pPr>
    </w:p>
    <w:p w:rsidR="00845307" w:rsidRPr="00180B82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lastRenderedPageBreak/>
        <w:t xml:space="preserve">                               </w:t>
      </w:r>
      <w:r w:rsidR="00180B82">
        <w:rPr>
          <w:szCs w:val="24"/>
        </w:rPr>
        <w:t xml:space="preserve">      </w:t>
      </w:r>
      <w:r w:rsidR="00180B82" w:rsidRPr="00180B82">
        <w:rPr>
          <w:szCs w:val="24"/>
        </w:rPr>
        <w:t xml:space="preserve"> </w:t>
      </w:r>
      <w:r w:rsidRPr="00180B82">
        <w:rPr>
          <w:szCs w:val="24"/>
        </w:rPr>
        <w:t>УТВЕРЖДЕНА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     постановлением Администрации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Краснокутского сельского поселения</w:t>
      </w:r>
    </w:p>
    <w:p w:rsidR="00BB76EB" w:rsidRPr="00180B82" w:rsidRDefault="00BB76EB" w:rsidP="00BB76EB">
      <w:pPr>
        <w:jc w:val="right"/>
        <w:rPr>
          <w:szCs w:val="24"/>
        </w:rPr>
      </w:pP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</w:r>
      <w:r w:rsidRPr="00180B82">
        <w:rPr>
          <w:szCs w:val="24"/>
        </w:rPr>
        <w:tab/>
        <w:t xml:space="preserve">          от 23.09.2019 года      №</w:t>
      </w:r>
      <w:r w:rsidR="00230B4E">
        <w:rPr>
          <w:szCs w:val="24"/>
        </w:rPr>
        <w:t>48</w:t>
      </w:r>
    </w:p>
    <w:p w:rsidR="00BB76EB" w:rsidRPr="00180B82" w:rsidRDefault="00BB76EB" w:rsidP="00BB76EB">
      <w:pPr>
        <w:jc w:val="both"/>
        <w:rPr>
          <w:szCs w:val="24"/>
        </w:rPr>
      </w:pPr>
    </w:p>
    <w:p w:rsidR="00BB76EB" w:rsidRPr="00180B82" w:rsidRDefault="00BB76EB" w:rsidP="00BB76EB">
      <w:pPr>
        <w:jc w:val="center"/>
        <w:rPr>
          <w:caps/>
          <w:szCs w:val="24"/>
        </w:rPr>
      </w:pPr>
      <w:r w:rsidRPr="00180B82">
        <w:rPr>
          <w:caps/>
          <w:szCs w:val="24"/>
        </w:rPr>
        <w:t>Муниципальная Программа</w:t>
      </w:r>
    </w:p>
    <w:p w:rsidR="00BB76EB" w:rsidRPr="00180B82" w:rsidRDefault="00BB76EB" w:rsidP="00BB76EB">
      <w:pPr>
        <w:jc w:val="center"/>
        <w:rPr>
          <w:caps/>
          <w:szCs w:val="24"/>
        </w:rPr>
      </w:pPr>
      <w:r w:rsidRPr="00180B82">
        <w:rPr>
          <w:caps/>
          <w:szCs w:val="24"/>
        </w:rPr>
        <w:t xml:space="preserve"> «комплексное развитие социальной инфраструктуры КРАСНОКУТСКОГОсельск</w:t>
      </w:r>
      <w:r w:rsidR="00230B4E">
        <w:rPr>
          <w:caps/>
          <w:szCs w:val="24"/>
        </w:rPr>
        <w:t>ого поселения на 2019-2020 годы</w:t>
      </w:r>
      <w:r w:rsidRPr="00180B82">
        <w:rPr>
          <w:caps/>
          <w:szCs w:val="24"/>
        </w:rPr>
        <w:t>»</w:t>
      </w:r>
    </w:p>
    <w:p w:rsidR="00BB76EB" w:rsidRPr="00180B82" w:rsidRDefault="00BB76EB" w:rsidP="00BB76EB">
      <w:pPr>
        <w:jc w:val="center"/>
        <w:rPr>
          <w:b/>
          <w:szCs w:val="24"/>
        </w:rPr>
      </w:pPr>
    </w:p>
    <w:p w:rsidR="00BB76EB" w:rsidRPr="00180B82" w:rsidRDefault="00BB76EB" w:rsidP="00BB76EB">
      <w:pPr>
        <w:jc w:val="center"/>
        <w:rPr>
          <w:b/>
          <w:szCs w:val="24"/>
        </w:rPr>
      </w:pPr>
      <w:r w:rsidRPr="00180B82">
        <w:rPr>
          <w:b/>
          <w:szCs w:val="24"/>
        </w:rPr>
        <w:t>ПАСПОРТ</w:t>
      </w:r>
    </w:p>
    <w:p w:rsidR="00BB76EB" w:rsidRPr="00180B82" w:rsidRDefault="00BB76EB" w:rsidP="00BB76EB">
      <w:pPr>
        <w:jc w:val="center"/>
        <w:rPr>
          <w:szCs w:val="24"/>
        </w:rPr>
      </w:pPr>
      <w:r w:rsidRPr="00180B82">
        <w:rPr>
          <w:szCs w:val="24"/>
        </w:rPr>
        <w:t xml:space="preserve">муниципальной программы  Краснокутского сельского поселения </w:t>
      </w:r>
    </w:p>
    <w:p w:rsidR="00BB76EB" w:rsidRPr="00180B82" w:rsidRDefault="00BB76EB" w:rsidP="00BB76EB">
      <w:pPr>
        <w:jc w:val="center"/>
        <w:rPr>
          <w:szCs w:val="24"/>
        </w:rPr>
      </w:pPr>
      <w:r w:rsidRPr="00180B82">
        <w:rPr>
          <w:szCs w:val="24"/>
        </w:rPr>
        <w:t>«Комплексное развитие социальной инфраструктуры»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972"/>
      </w:tblGrid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b"/>
              <w:rPr>
                <w:sz w:val="24"/>
                <w:szCs w:val="24"/>
              </w:rPr>
            </w:pPr>
            <w:r w:rsidRPr="00180B82">
              <w:rPr>
                <w:sz w:val="24"/>
                <w:szCs w:val="24"/>
              </w:rPr>
              <w:t>Программа комплексного развития социальной инфраструктуры Краснокутского сельского поселения (далее – Программа)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>Градостроительный кодекс Российской Федерации;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 xml:space="preserve">Федеральный </w:t>
            </w:r>
      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180B82">
                <w:t>закон</w:t>
              </w:r>
            </w:hyperlink>
            <w:r w:rsidRPr="00180B8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ind w:left="76" w:firstLine="0"/>
            </w:pPr>
            <w:r w:rsidRPr="00180B82">
              <w:t>Генеральный план Краснокутского сельского поселения, утвержден Решением муниципального комитета Краснокутского сельского поселения от 05.11.2013 г. №173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 xml:space="preserve">Администрация Краснокутского сельского поселения </w:t>
            </w:r>
          </w:p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>Спасского муниципального района Приморского края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b"/>
              <w:rPr>
                <w:rStyle w:val="aa"/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 xml:space="preserve">Администрация Краснокутского сельского поселения </w:t>
            </w:r>
          </w:p>
          <w:p w:rsidR="00BB76EB" w:rsidRPr="00180B82" w:rsidRDefault="00BB76EB" w:rsidP="002B75FF">
            <w:pPr>
              <w:pStyle w:val="ab"/>
              <w:rPr>
                <w:sz w:val="24"/>
                <w:szCs w:val="24"/>
              </w:rPr>
            </w:pPr>
            <w:r w:rsidRPr="00180B82">
              <w:rPr>
                <w:rStyle w:val="aa"/>
                <w:sz w:val="24"/>
                <w:szCs w:val="24"/>
              </w:rPr>
              <w:t>Спасского муниципального района Приморского края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прогноз потребностей населения сельского поселения в объектах социальной инфраструктуры до 2020 года;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</w:t>
            </w:r>
            <w:r w:rsidRPr="00180B82">
              <w:rPr>
                <w:szCs w:val="24"/>
              </w:rPr>
              <w:lastRenderedPageBreak/>
              <w:t>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BB76EB" w:rsidRPr="00180B82" w:rsidRDefault="00BB76EB" w:rsidP="00BB76EB">
            <w:pPr>
              <w:numPr>
                <w:ilvl w:val="0"/>
                <w:numId w:val="5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Cs w:val="24"/>
              </w:rPr>
            </w:pPr>
            <w:r w:rsidRPr="00180B82">
              <w:rPr>
                <w:szCs w:val="24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lastRenderedPageBreak/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3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szCs w:val="24"/>
              </w:rPr>
            </w:pPr>
            <w:r w:rsidRPr="00180B82">
              <w:rPr>
                <w:szCs w:val="24"/>
              </w:rPr>
              <w:t>Улучшение эксплуатационного состояния объектов;</w:t>
            </w:r>
          </w:p>
          <w:p w:rsidR="00BB76EB" w:rsidRPr="00180B82" w:rsidRDefault="00BB76EB" w:rsidP="002B75FF">
            <w:pPr>
              <w:pStyle w:val="a3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bCs/>
                <w:szCs w:val="24"/>
              </w:rPr>
            </w:pPr>
            <w:r w:rsidRPr="00180B82">
              <w:rPr>
                <w:szCs w:val="24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8"/>
              <w:spacing w:before="0" w:after="0"/>
              <w:jc w:val="left"/>
            </w:pPr>
            <w:r w:rsidRPr="00180B82">
              <w:t>Срок реализации: 2019– 2020 гг.</w:t>
            </w:r>
          </w:p>
          <w:p w:rsidR="00BB76EB" w:rsidRPr="00180B82" w:rsidRDefault="00BB76EB" w:rsidP="002B75FF">
            <w:pPr>
              <w:pStyle w:val="a8"/>
              <w:spacing w:before="0" w:after="0"/>
              <w:jc w:val="left"/>
            </w:pP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2B75FF">
            <w:pPr>
              <w:pStyle w:val="a8"/>
              <w:spacing w:before="0" w:after="0"/>
              <w:jc w:val="left"/>
            </w:pPr>
            <w:r w:rsidRPr="00180B82">
              <w:t xml:space="preserve">Местный бюджет – 0 </w:t>
            </w:r>
            <w:proofErr w:type="spellStart"/>
            <w:r w:rsidRPr="00180B82">
              <w:t>тыс</w:t>
            </w:r>
            <w:proofErr w:type="gramStart"/>
            <w:r w:rsidRPr="00180B82">
              <w:t>.р</w:t>
            </w:r>
            <w:proofErr w:type="gramEnd"/>
            <w:r w:rsidRPr="00180B82">
              <w:t>уб</w:t>
            </w:r>
            <w:proofErr w:type="spellEnd"/>
            <w:r w:rsidRPr="00180B82">
              <w:t>.</w:t>
            </w:r>
          </w:p>
        </w:tc>
      </w:tr>
      <w:tr w:rsidR="00BB76EB" w:rsidRPr="00180B82" w:rsidTr="002B75FF">
        <w:tc>
          <w:tcPr>
            <w:tcW w:w="1422" w:type="pct"/>
            <w:shd w:val="clear" w:color="auto" w:fill="auto"/>
          </w:tcPr>
          <w:p w:rsidR="00BB76EB" w:rsidRPr="00180B82" w:rsidRDefault="00BB76EB" w:rsidP="002B75FF">
            <w:pPr>
              <w:pStyle w:val="a8"/>
              <w:jc w:val="left"/>
            </w:pPr>
            <w:r w:rsidRPr="00180B82"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rPr>
                <w:bCs/>
              </w:rPr>
              <w:t xml:space="preserve">сбалансированное развитие сети объектов социальной инфраструктуры </w:t>
            </w:r>
            <w:r w:rsidRPr="00180B82">
              <w:t>сельского поселения</w:t>
            </w:r>
            <w:r w:rsidRPr="00180B82">
              <w:rPr>
                <w:bCs/>
              </w:rPr>
              <w:t>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t>улучшение эксплуатационного состояния объектов;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eastAsia="Calibri"/>
                <w:bCs/>
                <w:lang w:eastAsia="en-US"/>
              </w:rPr>
            </w:pPr>
            <w:r w:rsidRPr="00180B82">
              <w:t xml:space="preserve">обеспечение комфортных и безопасных условий для граждан </w:t>
            </w:r>
          </w:p>
          <w:p w:rsidR="00BB76EB" w:rsidRPr="00180B82" w:rsidRDefault="00BB76EB" w:rsidP="00BB76EB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180B82">
              <w:rPr>
                <w:bCs/>
              </w:rPr>
              <w:t xml:space="preserve">территориальная доступность объектов социальной инфраструктуры </w:t>
            </w:r>
            <w:r w:rsidRPr="00180B82">
              <w:t>сельского поселения</w:t>
            </w:r>
            <w:r w:rsidRPr="00180B82">
              <w:rPr>
                <w:bCs/>
              </w:rPr>
              <w:t>.</w:t>
            </w:r>
          </w:p>
        </w:tc>
      </w:tr>
    </w:tbl>
    <w:p w:rsidR="00BB76EB" w:rsidRPr="00180B82" w:rsidRDefault="00BB76EB" w:rsidP="00BB76EB">
      <w:pPr>
        <w:pStyle w:val="a8"/>
        <w:ind w:left="360"/>
      </w:pPr>
    </w:p>
    <w:p w:rsidR="00BB76EB" w:rsidRPr="00180B82" w:rsidRDefault="00BB76EB" w:rsidP="00180B82">
      <w:pPr>
        <w:rPr>
          <w:szCs w:val="24"/>
        </w:rPr>
      </w:pPr>
      <w:bookmarkStart w:id="0" w:name="_Toc447102804"/>
      <w:r w:rsidRPr="00180B82">
        <w:rPr>
          <w:szCs w:val="24"/>
        </w:rPr>
        <w:t>Характеристика существующего состояния социальной инфраструктуры</w:t>
      </w:r>
    </w:p>
    <w:p w:rsidR="00BB76EB" w:rsidRPr="00180B82" w:rsidRDefault="00BB76EB" w:rsidP="00180B82">
      <w:pPr>
        <w:rPr>
          <w:szCs w:val="24"/>
        </w:rPr>
      </w:pPr>
      <w:bookmarkStart w:id="1" w:name="_Toc447102805"/>
      <w:r w:rsidRPr="00180B82">
        <w:rPr>
          <w:szCs w:val="24"/>
        </w:rPr>
        <w:t>Уровень социально-экономического развития</w:t>
      </w:r>
      <w:bookmarkEnd w:id="1"/>
    </w:p>
    <w:p w:rsidR="00BB76EB" w:rsidRPr="00180B82" w:rsidRDefault="00BB76EB" w:rsidP="00180B82">
      <w:pPr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>Уровень социально-экономического развития Краснокутского сельского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BB76EB" w:rsidRPr="00180B82" w:rsidRDefault="00BB76EB" w:rsidP="00180B82">
      <w:pPr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>По состоянию на 01.01.2019 года численность населения Краснокутского сельского поселения - 2304 тыс. человек.</w:t>
      </w:r>
    </w:p>
    <w:p w:rsidR="00BB76EB" w:rsidRPr="00180B82" w:rsidRDefault="00BB76EB" w:rsidP="00180B82">
      <w:pPr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B76EB" w:rsidRPr="00180B82" w:rsidRDefault="00BB76EB" w:rsidP="00180B82">
      <w:pPr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BB76EB" w:rsidRPr="00180B82" w:rsidRDefault="00BB76EB" w:rsidP="00180B82">
      <w:pPr>
        <w:rPr>
          <w:szCs w:val="24"/>
        </w:rPr>
      </w:pPr>
      <w:proofErr w:type="gramStart"/>
      <w:r w:rsidRPr="00180B82">
        <w:rPr>
          <w:szCs w:val="24"/>
        </w:rPr>
        <w:t>Социальная инфраструктура поселения достаточно развита, центр поселения (с. Вишневка) обеспечен социально-гарантированным уровнем обслуживания населения (детские сады, школа, учреждения библиотечной системы).</w:t>
      </w:r>
      <w:proofErr w:type="gramEnd"/>
      <w:r w:rsidRPr="00180B82">
        <w:rPr>
          <w:szCs w:val="24"/>
        </w:rPr>
        <w:t xml:space="preserve"> В то же время в малых населенных пунктах района: с. Евсеевка, учреждения обслуживания отсутствуют полностью. В с. Красный Кут функционирует только школа</w:t>
      </w:r>
      <w:proofErr w:type="gramStart"/>
      <w:r w:rsidRPr="00180B82">
        <w:rPr>
          <w:szCs w:val="24"/>
        </w:rPr>
        <w:t>.</w:t>
      </w:r>
      <w:proofErr w:type="gramEnd"/>
      <w:r w:rsidRPr="00180B82">
        <w:rPr>
          <w:szCs w:val="24"/>
        </w:rPr>
        <w:t xml:space="preserve"> </w:t>
      </w:r>
      <w:proofErr w:type="gramStart"/>
      <w:r w:rsidRPr="00180B82">
        <w:rPr>
          <w:szCs w:val="24"/>
        </w:rPr>
        <w:t>п</w:t>
      </w:r>
      <w:proofErr w:type="gramEnd"/>
      <w:r w:rsidRPr="00180B82">
        <w:rPr>
          <w:szCs w:val="24"/>
        </w:rPr>
        <w:t>ри таком населенном пункте как с. Евсеевка, отсутствие учреждений обслуживания частично компенсируется расположением в непосредственной близости центра поселения с относительно развитой социальной инфраструктурой. Остальные малые населенные пункты в значительной мере удалены от центров обслуживания (от 6 до 7 км).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Кроме того по сельскому поселению недостаточно развита система учреждений культуры и досуга, внешкольного образования, физкультуры и спорта, торговли и предоставления услуг населению.</w:t>
      </w:r>
    </w:p>
    <w:p w:rsidR="00BB76EB" w:rsidRPr="00180B82" w:rsidRDefault="00BB76EB" w:rsidP="00180B82">
      <w:pPr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Образование.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В настоящее время сеть системы образования сельского поселения представлена </w:t>
      </w:r>
      <w:r w:rsidR="00DD7E24" w:rsidRPr="00180B82">
        <w:rPr>
          <w:szCs w:val="24"/>
        </w:rPr>
        <w:t>2 общеобразовательной школы</w:t>
      </w:r>
      <w:r w:rsidRPr="00180B82">
        <w:rPr>
          <w:szCs w:val="24"/>
        </w:rPr>
        <w:t xml:space="preserve">  на </w:t>
      </w:r>
      <w:r w:rsidR="00DD7E24" w:rsidRPr="00180B82">
        <w:rPr>
          <w:szCs w:val="24"/>
        </w:rPr>
        <w:t>600</w:t>
      </w:r>
      <w:r w:rsidRPr="00180B82">
        <w:rPr>
          <w:szCs w:val="24"/>
        </w:rPr>
        <w:t xml:space="preserve"> мест и </w:t>
      </w:r>
      <w:r w:rsidR="00DD7E24" w:rsidRPr="00180B82">
        <w:rPr>
          <w:szCs w:val="24"/>
        </w:rPr>
        <w:t>1 детское дошкольное учреждения</w:t>
      </w:r>
      <w:r w:rsidRPr="00180B82">
        <w:rPr>
          <w:szCs w:val="24"/>
        </w:rPr>
        <w:t xml:space="preserve"> на </w:t>
      </w:r>
      <w:r w:rsidR="00DD7E24" w:rsidRPr="00180B82">
        <w:rPr>
          <w:szCs w:val="24"/>
        </w:rPr>
        <w:t>70</w:t>
      </w:r>
      <w:r w:rsidRPr="00180B82">
        <w:rPr>
          <w:szCs w:val="24"/>
        </w:rPr>
        <w:t xml:space="preserve"> мест.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lastRenderedPageBreak/>
        <w:t>На расчетный срок развитие системы образования предусматривается за счет реконструкции существующего фонда.</w:t>
      </w:r>
    </w:p>
    <w:p w:rsidR="00BB76EB" w:rsidRPr="00180B82" w:rsidRDefault="00BB76EB" w:rsidP="00180B82">
      <w:pPr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Физическая культура, спорт и туризм.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В сельском поселении слабо развито физкультурно-спортивное направление:</w:t>
      </w:r>
    </w:p>
    <w:p w:rsidR="00BB76EB" w:rsidRPr="00180B82" w:rsidRDefault="00BB76EB" w:rsidP="00180B82">
      <w:pPr>
        <w:rPr>
          <w:szCs w:val="24"/>
        </w:rPr>
      </w:pPr>
      <w:proofErr w:type="gramStart"/>
      <w:r w:rsidRPr="00180B82">
        <w:rPr>
          <w:szCs w:val="24"/>
        </w:rPr>
        <w:t xml:space="preserve">в настоящее время в с. </w:t>
      </w:r>
      <w:r w:rsidR="00DD7E24" w:rsidRPr="00180B82">
        <w:rPr>
          <w:szCs w:val="24"/>
        </w:rPr>
        <w:t>Красный Кут и с. Вишневка</w:t>
      </w:r>
      <w:r w:rsidRPr="00180B82">
        <w:rPr>
          <w:szCs w:val="24"/>
        </w:rPr>
        <w:t xml:space="preserve"> функционируют только спортивные</w:t>
      </w:r>
      <w:r w:rsidR="00DD7E24" w:rsidRPr="00180B82">
        <w:rPr>
          <w:szCs w:val="24"/>
        </w:rPr>
        <w:t xml:space="preserve"> зоны</w:t>
      </w:r>
      <w:r w:rsidRPr="00180B82">
        <w:rPr>
          <w:szCs w:val="24"/>
        </w:rPr>
        <w:t xml:space="preserve"> при школе.</w:t>
      </w:r>
      <w:proofErr w:type="gramEnd"/>
    </w:p>
    <w:p w:rsidR="00BB76EB" w:rsidRPr="00180B82" w:rsidRDefault="00BB76EB" w:rsidP="00180B82">
      <w:pPr>
        <w:rPr>
          <w:szCs w:val="24"/>
        </w:rPr>
      </w:pPr>
    </w:p>
    <w:p w:rsidR="00BB76EB" w:rsidRPr="00180B82" w:rsidRDefault="00BB76EB" w:rsidP="00180B82">
      <w:pPr>
        <w:rPr>
          <w:b/>
          <w:szCs w:val="24"/>
          <w:u w:val="single"/>
        </w:rPr>
      </w:pPr>
      <w:r w:rsidRPr="00180B82">
        <w:rPr>
          <w:b/>
          <w:szCs w:val="24"/>
          <w:u w:val="single"/>
        </w:rPr>
        <w:t>Культура и искусство.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В настоящее время на территории сельского поселения </w:t>
      </w:r>
      <w:r w:rsidR="00DD7E24" w:rsidRPr="00180B82">
        <w:rPr>
          <w:szCs w:val="24"/>
        </w:rPr>
        <w:t xml:space="preserve">не </w:t>
      </w:r>
      <w:r w:rsidRPr="00180B82">
        <w:rPr>
          <w:szCs w:val="24"/>
        </w:rPr>
        <w:t xml:space="preserve">функционирует 2 </w:t>
      </w:r>
      <w:proofErr w:type="gramStart"/>
      <w:r w:rsidRPr="00180B82">
        <w:rPr>
          <w:szCs w:val="24"/>
        </w:rPr>
        <w:t>сельских</w:t>
      </w:r>
      <w:proofErr w:type="gramEnd"/>
      <w:r w:rsidRPr="00180B82">
        <w:rPr>
          <w:szCs w:val="24"/>
        </w:rPr>
        <w:t xml:space="preserve"> клуба в с. </w:t>
      </w:r>
      <w:r w:rsidR="00DD7E24" w:rsidRPr="00180B82">
        <w:rPr>
          <w:szCs w:val="24"/>
        </w:rPr>
        <w:t>Красный Кут и в с. Вишневка</w:t>
      </w:r>
      <w:r w:rsidRPr="00180B82">
        <w:rPr>
          <w:szCs w:val="24"/>
        </w:rPr>
        <w:t xml:space="preserve">. На территории сельского поселения действует </w:t>
      </w:r>
      <w:r w:rsidR="00DD7E24" w:rsidRPr="00180B82">
        <w:rPr>
          <w:szCs w:val="24"/>
        </w:rPr>
        <w:t>1</w:t>
      </w:r>
      <w:r w:rsidRPr="00180B82">
        <w:rPr>
          <w:szCs w:val="24"/>
        </w:rPr>
        <w:t xml:space="preserve"> библиотек</w:t>
      </w:r>
      <w:r w:rsidR="00DD7E24" w:rsidRPr="00180B82">
        <w:rPr>
          <w:szCs w:val="24"/>
        </w:rPr>
        <w:t>а</w:t>
      </w:r>
      <w:r w:rsidRPr="00180B82">
        <w:rPr>
          <w:szCs w:val="24"/>
        </w:rPr>
        <w:t xml:space="preserve"> общедоступной сети. 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Развитие социальной инфраструктуры </w:t>
      </w:r>
      <w:r w:rsidR="00DD7E24" w:rsidRPr="00180B82">
        <w:rPr>
          <w:szCs w:val="24"/>
        </w:rPr>
        <w:t>Краснокутского</w:t>
      </w:r>
      <w:r w:rsidRPr="00180B82">
        <w:rPr>
          <w:szCs w:val="24"/>
        </w:rPr>
        <w:t xml:space="preserve"> сельского поселения направлено на формирование благоприятного социального климата для обеспечения эффективной трудовой деятельности, повышения уровня жизни населения, сокращения миграционного потока. 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На расчетный период население </w:t>
      </w:r>
      <w:r w:rsidR="00230B4E">
        <w:rPr>
          <w:szCs w:val="24"/>
        </w:rPr>
        <w:t>Краснокутского</w:t>
      </w:r>
      <w:r w:rsidRPr="00180B82">
        <w:rPr>
          <w:szCs w:val="24"/>
        </w:rPr>
        <w:t xml:space="preserve"> сельского поселения обеспечено объектами социальной инфраструктуры в области образования и культуры. В области развития физкультуры и массового спорта требуется</w:t>
      </w:r>
      <w:r w:rsidR="00180B82">
        <w:rPr>
          <w:szCs w:val="24"/>
        </w:rPr>
        <w:t xml:space="preserve"> строительство спортивно-игровых площадок</w:t>
      </w:r>
      <w:r w:rsidRPr="00180B82">
        <w:rPr>
          <w:szCs w:val="24"/>
        </w:rPr>
        <w:t xml:space="preserve"> на территории </w:t>
      </w:r>
      <w:r w:rsidR="00180B82">
        <w:rPr>
          <w:szCs w:val="24"/>
        </w:rPr>
        <w:t>Краснокутского сельского поселения</w:t>
      </w:r>
      <w:r w:rsidRPr="00180B82">
        <w:rPr>
          <w:szCs w:val="24"/>
        </w:rPr>
        <w:t>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Программные мероприятия направлены на обеспечение безопасности, качества и эффективности использования объектов существующей социальной инфраструктуры.</w:t>
      </w:r>
    </w:p>
    <w:p w:rsidR="00BB76EB" w:rsidRPr="00180B82" w:rsidRDefault="00BB76EB" w:rsidP="00180B82">
      <w:pPr>
        <w:rPr>
          <w:szCs w:val="24"/>
        </w:rPr>
      </w:pP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1.3 Оценка нормативно-правовой базы, необходимой для функционирования и развития социальной инфраструктуры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B76EB" w:rsidRPr="00180B82" w:rsidRDefault="00BB76EB" w:rsidP="00180B82">
      <w:pPr>
        <w:rPr>
          <w:szCs w:val="24"/>
        </w:rPr>
      </w:pPr>
      <w:proofErr w:type="gramStart"/>
      <w:r w:rsidRPr="00180B82">
        <w:rPr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Федеральный закон от 29.12.2012 № 273-ФЗ «Об образовании в Российской Федерации»;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Федеральный закон от 17.07.1999 № 178-ФЗ «О государственной социальной помощи»;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</w:t>
      </w:r>
      <w:r w:rsidRPr="00180B82">
        <w:rPr>
          <w:szCs w:val="24"/>
        </w:rPr>
        <w:lastRenderedPageBreak/>
        <w:t>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BB76EB" w:rsidRPr="00180B82" w:rsidRDefault="00BB76EB" w:rsidP="00180B82">
      <w:pPr>
        <w:rPr>
          <w:szCs w:val="24"/>
          <w:u w:val="single"/>
        </w:rPr>
      </w:pP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>1.4 Сведения о градостроительной деятельности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На территории </w:t>
      </w:r>
      <w:r w:rsidR="00427449" w:rsidRPr="00180B82">
        <w:rPr>
          <w:szCs w:val="24"/>
        </w:rPr>
        <w:t>Краснокутского</w:t>
      </w:r>
      <w:r w:rsidRPr="00180B82">
        <w:rPr>
          <w:szCs w:val="24"/>
        </w:rPr>
        <w:t xml:space="preserve"> сельского поселения утверждены градостроительные документы: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Генеральный план </w:t>
      </w:r>
      <w:r w:rsidR="00427449" w:rsidRPr="00180B82">
        <w:rPr>
          <w:szCs w:val="24"/>
        </w:rPr>
        <w:t>Краснокутского</w:t>
      </w:r>
      <w:r w:rsidRPr="00180B82">
        <w:rPr>
          <w:szCs w:val="24"/>
        </w:rPr>
        <w:t xml:space="preserve"> сельского поселения, утвержден Решением </w:t>
      </w:r>
      <w:r w:rsidR="00427449" w:rsidRPr="00180B82">
        <w:rPr>
          <w:szCs w:val="24"/>
        </w:rPr>
        <w:t>муниципального комитета Краснокутского сельского поселения от 05.11.2013 г. №173</w:t>
      </w:r>
      <w:r w:rsidRPr="00180B82">
        <w:rPr>
          <w:szCs w:val="24"/>
        </w:rPr>
        <w:t>.;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Правила землепользования и застройки </w:t>
      </w:r>
      <w:r w:rsidR="00427449" w:rsidRPr="00180B82">
        <w:rPr>
          <w:szCs w:val="24"/>
        </w:rPr>
        <w:t>Краснокутского</w:t>
      </w:r>
      <w:r w:rsidR="00230B4E">
        <w:rPr>
          <w:szCs w:val="24"/>
        </w:rPr>
        <w:t xml:space="preserve"> сельского поселения.</w:t>
      </w:r>
    </w:p>
    <w:p w:rsidR="00BB76EB" w:rsidRPr="00180B82" w:rsidRDefault="00BB76EB" w:rsidP="00180B82">
      <w:pPr>
        <w:rPr>
          <w:szCs w:val="24"/>
        </w:rPr>
      </w:pPr>
      <w:bookmarkStart w:id="2" w:name="_Ref305060137"/>
      <w:bookmarkEnd w:id="0"/>
    </w:p>
    <w:p w:rsidR="00BB76EB" w:rsidRPr="00CF5642" w:rsidRDefault="00BB76EB" w:rsidP="00CF5642">
      <w:pPr>
        <w:jc w:val="center"/>
        <w:rPr>
          <w:rStyle w:val="S0"/>
          <w:b/>
        </w:rPr>
      </w:pPr>
      <w:r w:rsidRPr="00CF5642">
        <w:rPr>
          <w:b/>
          <w:color w:val="000000"/>
          <w:szCs w:val="24"/>
        </w:rPr>
        <w:t>2</w:t>
      </w:r>
      <w:r w:rsidRPr="00CF5642">
        <w:rPr>
          <w:rStyle w:val="S0"/>
          <w:b/>
        </w:rPr>
        <w:t>. СОДЕРЖАНИЕ ПРОБЛЕМЫ И ОБОСНОВАНИЕ НЕОБХОДИМОСТИ ЕЕ РЕШЕНИЯ ПРОГРАММНЫМИ МЕТОДАМИ</w:t>
      </w:r>
    </w:p>
    <w:p w:rsidR="00BB76EB" w:rsidRPr="00180B82" w:rsidRDefault="00BB76EB" w:rsidP="00180B82">
      <w:pPr>
        <w:rPr>
          <w:color w:val="000000"/>
          <w:szCs w:val="24"/>
        </w:rPr>
      </w:pPr>
    </w:p>
    <w:p w:rsidR="00BB76EB" w:rsidRPr="00180B82" w:rsidRDefault="00BB76EB" w:rsidP="00180B82">
      <w:pPr>
        <w:rPr>
          <w:szCs w:val="24"/>
        </w:rPr>
      </w:pPr>
      <w:r w:rsidRPr="00180B82">
        <w:rPr>
          <w:szCs w:val="24"/>
        </w:rPr>
        <w:t xml:space="preserve">Многолетнее недофинансирование мероприятий по капитальному ремонту объектов социальной сферы,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объектов, аварийности, низким потребительским свойствам. </w:t>
      </w:r>
    </w:p>
    <w:p w:rsidR="00BB76EB" w:rsidRPr="00180B82" w:rsidRDefault="00BB76EB" w:rsidP="00180B82">
      <w:pPr>
        <w:rPr>
          <w:szCs w:val="24"/>
        </w:rPr>
      </w:pPr>
      <w:proofErr w:type="gramStart"/>
      <w:r w:rsidRPr="00180B82">
        <w:rPr>
          <w:szCs w:val="24"/>
        </w:rPr>
        <w:t xml:space="preserve">Программные мероприятия, связанные с финансированием за счет бюджетных средств, направлены на преодоление последствий недофинансирования, обеспечение государственной финансовой поддержки капитального ремонта и строительства объектов социальной сферы, а также на привлечение средств местного бюджета, что позволит </w:t>
      </w:r>
      <w:r w:rsidRPr="00180B82">
        <w:rPr>
          <w:color w:val="000000"/>
          <w:szCs w:val="24"/>
        </w:rPr>
        <w:t xml:space="preserve">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зданий, обеспечивающих выполнение </w:t>
      </w:r>
      <w:r w:rsidRPr="00180B82">
        <w:rPr>
          <w:szCs w:val="24"/>
        </w:rPr>
        <w:t>требований Федерального законодательства по</w:t>
      </w:r>
      <w:proofErr w:type="gramEnd"/>
      <w:r w:rsidRPr="00180B82">
        <w:rPr>
          <w:szCs w:val="24"/>
        </w:rPr>
        <w:t xml:space="preserve">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</w:t>
      </w:r>
    </w:p>
    <w:p w:rsidR="00BB76EB" w:rsidRPr="00180B82" w:rsidRDefault="00BB76EB" w:rsidP="00180B82">
      <w:pPr>
        <w:rPr>
          <w:szCs w:val="24"/>
        </w:rPr>
      </w:pPr>
      <w:r w:rsidRPr="00180B82">
        <w:rPr>
          <w:color w:val="000000"/>
          <w:szCs w:val="24"/>
        </w:rPr>
        <w:t xml:space="preserve">Решить проблему </w:t>
      </w:r>
      <w:proofErr w:type="gramStart"/>
      <w:r w:rsidRPr="00180B82">
        <w:rPr>
          <w:color w:val="000000"/>
          <w:szCs w:val="24"/>
        </w:rPr>
        <w:t>снижения уровня износа</w:t>
      </w:r>
      <w:r w:rsidRPr="00180B82">
        <w:rPr>
          <w:szCs w:val="24"/>
        </w:rPr>
        <w:t xml:space="preserve"> объектов социальной сферы</w:t>
      </w:r>
      <w:proofErr w:type="gramEnd"/>
      <w:r w:rsidRPr="00180B82">
        <w:rPr>
          <w:color w:val="000000"/>
          <w:szCs w:val="24"/>
        </w:rPr>
        <w:t xml:space="preserve"> возможно только объединением усилий всех уровней власти</w:t>
      </w:r>
      <w:r w:rsidRPr="00180B82">
        <w:rPr>
          <w:szCs w:val="24"/>
        </w:rPr>
        <w:t>.</w:t>
      </w:r>
    </w:p>
    <w:p w:rsidR="00CF5642" w:rsidRDefault="00BB76EB" w:rsidP="00CF5642">
      <w:pPr>
        <w:rPr>
          <w:szCs w:val="24"/>
        </w:rPr>
      </w:pPr>
      <w:r w:rsidRPr="00180B82">
        <w:rPr>
          <w:szCs w:val="24"/>
        </w:rPr>
        <w:t xml:space="preserve">Программные мероприятия, а также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</w:t>
      </w:r>
      <w:r w:rsidR="00180B82">
        <w:rPr>
          <w:szCs w:val="24"/>
        </w:rPr>
        <w:t>внешних условий</w:t>
      </w:r>
    </w:p>
    <w:p w:rsidR="00CF5642" w:rsidRPr="00180B82" w:rsidRDefault="00CF5642" w:rsidP="00CF5642">
      <w:pPr>
        <w:rPr>
          <w:szCs w:val="24"/>
        </w:rPr>
      </w:pPr>
      <w:r>
        <w:rPr>
          <w:szCs w:val="24"/>
        </w:rPr>
        <w:t xml:space="preserve"> </w:t>
      </w:r>
      <w:r w:rsidRPr="00180B82">
        <w:rPr>
          <w:szCs w:val="24"/>
        </w:rPr>
        <w:t xml:space="preserve">2.1 Предложения по повышению доступности среды для маломобильных </w:t>
      </w:r>
      <w:r w:rsidRPr="00180B82">
        <w:rPr>
          <w:szCs w:val="24"/>
        </w:rPr>
        <w:tab/>
        <w:t>групп населения</w:t>
      </w:r>
    </w:p>
    <w:p w:rsidR="00CF5642" w:rsidRPr="00180B82" w:rsidRDefault="00CF5642" w:rsidP="00CF5642">
      <w:pPr>
        <w:rPr>
          <w:szCs w:val="24"/>
        </w:rPr>
      </w:pPr>
      <w:proofErr w:type="gramStart"/>
      <w:r w:rsidRPr="00180B82">
        <w:rPr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180B82">
        <w:rPr>
          <w:szCs w:val="24"/>
        </w:rPr>
        <w:t>безбарьерную</w:t>
      </w:r>
      <w:proofErr w:type="spellEnd"/>
      <w:r w:rsidRPr="00180B82">
        <w:rPr>
          <w:szCs w:val="24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lastRenderedPageBreak/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СП 35-102-2001 «Жилая среда с планировочными элементами, доступными инвалидам»;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СП 35-103-2001 «Общественные здания и сооружения, доступные маломобильным посетителям»;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CF5642" w:rsidRPr="00180B82" w:rsidRDefault="00CF5642" w:rsidP="00CF5642">
      <w:pPr>
        <w:rPr>
          <w:rFonts w:eastAsia="Calibri"/>
          <w:szCs w:val="24"/>
          <w:lang w:eastAsia="en-US"/>
        </w:rPr>
      </w:pPr>
      <w:r w:rsidRPr="00180B82">
        <w:rPr>
          <w:rFonts w:eastAsia="Calibri"/>
          <w:szCs w:val="24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беспрепятственного движения по коммуникационным путям, помещениям и пространствам;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возможность своевременного опознавания и реагирования на места и зоны риска;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предупреждение потребителей о зонах, представляющих потенциальную опасность;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своевременное распознавание ориентиров в архитектурной среде общественных зданий;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точную идентификацию своего места нахождения и мест, являющихся целью посещения;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возможность эффективной ориентации посетителя, как в светлое, так и в темное время суток;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сокращение времени и усилий на получение необходимой информации;</w:t>
      </w:r>
    </w:p>
    <w:p w:rsidR="00BB76EB" w:rsidRDefault="00CF5642" w:rsidP="00180B82">
      <w:pPr>
        <w:rPr>
          <w:szCs w:val="24"/>
        </w:rPr>
      </w:pPr>
      <w:r w:rsidRPr="00180B82">
        <w:rPr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CF5642" w:rsidRDefault="00CF5642" w:rsidP="00180B82">
      <w:pPr>
        <w:rPr>
          <w:szCs w:val="24"/>
        </w:rPr>
      </w:pPr>
    </w:p>
    <w:p w:rsidR="00CF5642" w:rsidRPr="00CF5642" w:rsidRDefault="00CF5642" w:rsidP="00CF5642">
      <w:pPr>
        <w:jc w:val="center"/>
        <w:rPr>
          <w:rStyle w:val="S0"/>
          <w:b/>
        </w:rPr>
      </w:pPr>
      <w:r w:rsidRPr="00CF5642">
        <w:rPr>
          <w:rStyle w:val="af4"/>
          <w:b/>
        </w:rPr>
        <w:t>3. СТОИМОСТЬ РЕАЛИЗАЦИИ МЕРОПРИЯТИЙ И ИСТОЧНИКИ ФИНАНСИРОВАНИЯ ПО РАЗВИТИЮ СЕТИ ОБЪЕКТОВ СОЦИАЛЬНОЙ</w:t>
      </w:r>
      <w:r w:rsidRPr="00CF5642">
        <w:rPr>
          <w:rStyle w:val="S0"/>
          <w:b/>
        </w:rPr>
        <w:t xml:space="preserve"> ИНФРАСТРУКТУРЫ</w:t>
      </w:r>
    </w:p>
    <w:p w:rsidR="00CF5642" w:rsidRDefault="00CF5642" w:rsidP="00CF5642">
      <w:pPr>
        <w:rPr>
          <w:szCs w:val="24"/>
        </w:rPr>
      </w:pPr>
      <w:r w:rsidRPr="00180B82">
        <w:rPr>
          <w:szCs w:val="24"/>
        </w:rPr>
        <w:tab/>
      </w:r>
    </w:p>
    <w:p w:rsidR="00CF5642" w:rsidRPr="00180B82" w:rsidRDefault="00CF5642" w:rsidP="00CF5642">
      <w:pPr>
        <w:rPr>
          <w:szCs w:val="24"/>
        </w:rPr>
      </w:pPr>
      <w:r>
        <w:rPr>
          <w:szCs w:val="24"/>
        </w:rPr>
        <w:t xml:space="preserve">        </w:t>
      </w:r>
      <w:r w:rsidRPr="00180B82">
        <w:rPr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представлена в Приложении 1.</w:t>
      </w:r>
    </w:p>
    <w:p w:rsidR="00CF5642" w:rsidRPr="00180B82" w:rsidRDefault="00CF5642" w:rsidP="00CF5642">
      <w:pPr>
        <w:jc w:val="right"/>
        <w:rPr>
          <w:szCs w:val="24"/>
        </w:rPr>
      </w:pPr>
      <w:r w:rsidRPr="00180B82">
        <w:rPr>
          <w:szCs w:val="24"/>
        </w:rPr>
        <w:t>Приложение 1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Объемы и источники финансирования.</w:t>
      </w:r>
    </w:p>
    <w:p w:rsidR="00CF5642" w:rsidRPr="00180B82" w:rsidRDefault="00CF5642" w:rsidP="00CF5642">
      <w:pPr>
        <w:rPr>
          <w:szCs w:val="24"/>
        </w:rPr>
      </w:pPr>
    </w:p>
    <w:tbl>
      <w:tblPr>
        <w:tblW w:w="6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858"/>
        <w:gridCol w:w="994"/>
        <w:gridCol w:w="870"/>
        <w:gridCol w:w="994"/>
      </w:tblGrid>
      <w:tr w:rsidR="00D7664B" w:rsidRPr="00180B82" w:rsidTr="00D7664B">
        <w:trPr>
          <w:trHeight w:val="504"/>
        </w:trPr>
        <w:tc>
          <w:tcPr>
            <w:tcW w:w="622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№</w:t>
            </w:r>
            <w:proofErr w:type="gramStart"/>
            <w:r w:rsidRPr="00180B82">
              <w:rPr>
                <w:szCs w:val="24"/>
              </w:rPr>
              <w:t>п</w:t>
            </w:r>
            <w:proofErr w:type="gramEnd"/>
            <w:r w:rsidRPr="00180B82">
              <w:rPr>
                <w:szCs w:val="24"/>
              </w:rPr>
              <w:t>/п</w:t>
            </w:r>
          </w:p>
        </w:tc>
        <w:tc>
          <w:tcPr>
            <w:tcW w:w="2858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Источник финансирования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всего</w:t>
            </w:r>
          </w:p>
        </w:tc>
        <w:tc>
          <w:tcPr>
            <w:tcW w:w="870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2020</w:t>
            </w:r>
          </w:p>
        </w:tc>
      </w:tr>
      <w:tr w:rsidR="00D7664B" w:rsidRPr="00180B82" w:rsidTr="00D7664B">
        <w:trPr>
          <w:trHeight w:val="770"/>
        </w:trPr>
        <w:tc>
          <w:tcPr>
            <w:tcW w:w="622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1.</w:t>
            </w:r>
          </w:p>
        </w:tc>
        <w:tc>
          <w:tcPr>
            <w:tcW w:w="2858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Всего по программе, в том числе по источникам финансирования: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bookmarkStart w:id="3" w:name="_GoBack"/>
        <w:bookmarkEnd w:id="3"/>
      </w:tr>
      <w:tr w:rsidR="00D7664B" w:rsidRPr="00180B82" w:rsidTr="00D7664B">
        <w:trPr>
          <w:trHeight w:val="518"/>
        </w:trPr>
        <w:tc>
          <w:tcPr>
            <w:tcW w:w="622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1.3</w:t>
            </w:r>
          </w:p>
        </w:tc>
        <w:tc>
          <w:tcPr>
            <w:tcW w:w="2858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Бюджетные ассигнования поселения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</w:tr>
      <w:tr w:rsidR="00D7664B" w:rsidRPr="00180B82" w:rsidTr="00D7664B">
        <w:trPr>
          <w:trHeight w:val="252"/>
        </w:trPr>
        <w:tc>
          <w:tcPr>
            <w:tcW w:w="622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1.4</w:t>
            </w:r>
          </w:p>
        </w:tc>
        <w:tc>
          <w:tcPr>
            <w:tcW w:w="2858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870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  <w:tc>
          <w:tcPr>
            <w:tcW w:w="994" w:type="dxa"/>
          </w:tcPr>
          <w:p w:rsidR="00D7664B" w:rsidRPr="00180B82" w:rsidRDefault="00D7664B" w:rsidP="008D252F">
            <w:pPr>
              <w:rPr>
                <w:szCs w:val="24"/>
              </w:rPr>
            </w:pPr>
            <w:r w:rsidRPr="00180B82">
              <w:rPr>
                <w:szCs w:val="24"/>
              </w:rPr>
              <w:t>0,0</w:t>
            </w:r>
          </w:p>
        </w:tc>
      </w:tr>
    </w:tbl>
    <w:p w:rsidR="00CF5642" w:rsidRDefault="00CF5642" w:rsidP="00CF5642">
      <w:pPr>
        <w:jc w:val="center"/>
        <w:rPr>
          <w:b/>
          <w:szCs w:val="24"/>
        </w:rPr>
      </w:pPr>
    </w:p>
    <w:p w:rsidR="00CF5642" w:rsidRPr="00180B82" w:rsidRDefault="00CF5642" w:rsidP="00CF5642">
      <w:pPr>
        <w:jc w:val="center"/>
        <w:rPr>
          <w:b/>
          <w:szCs w:val="24"/>
        </w:rPr>
      </w:pPr>
      <w:r w:rsidRPr="00180B82">
        <w:rPr>
          <w:b/>
          <w:szCs w:val="24"/>
        </w:rPr>
        <w:t>4.ФИНАНСОВО-ЭКОНОМИЧЕСКОЕ ОБОСНОВАНИЕ ПРОГРАММЫ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ab/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jc w:val="center"/>
        <w:rPr>
          <w:b/>
          <w:szCs w:val="24"/>
        </w:rPr>
      </w:pPr>
      <w:r w:rsidRPr="00180B82">
        <w:rPr>
          <w:b/>
          <w:szCs w:val="24"/>
        </w:rPr>
        <w:t>5.ЭФФЕКТИВНОСТЬ МЕРОПРИЯТИЙ ПО РАЗВИТИЮ СЕТИ ОБЪЕКТОВ СОЦИАЛЬНОЙ ИНФРАСТРУКТУРЫ</w:t>
      </w:r>
    </w:p>
    <w:p w:rsidR="00CF5642" w:rsidRPr="00180B82" w:rsidRDefault="00CF5642" w:rsidP="00CF5642">
      <w:pPr>
        <w:rPr>
          <w:szCs w:val="24"/>
        </w:rPr>
      </w:pP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Реализация мероприятий по реконструкции или ремонту объектов социальной инфраструктуры Краснокутского сельского поселения позволит достичь определенных социальных эффектов: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>Формирование благоприятного социального климата для обеспечения эффективной трудовой деятельности.</w:t>
      </w:r>
    </w:p>
    <w:p w:rsidR="00CF5642" w:rsidRPr="00180B82" w:rsidRDefault="00CF5642" w:rsidP="00CF5642">
      <w:pPr>
        <w:rPr>
          <w:szCs w:val="24"/>
        </w:rPr>
      </w:pPr>
      <w:r w:rsidRPr="00180B82">
        <w:rPr>
          <w:szCs w:val="24"/>
        </w:rPr>
        <w:t xml:space="preserve"> Создание условий для развития таких отраслей, как образование, физическая культура и массовый спорт, культура.</w:t>
      </w:r>
    </w:p>
    <w:p w:rsidR="00CF5642" w:rsidRPr="00180B82" w:rsidRDefault="00CF5642" w:rsidP="00180B82">
      <w:pPr>
        <w:rPr>
          <w:szCs w:val="24"/>
        </w:rPr>
        <w:sectPr w:rsidR="00CF5642" w:rsidRPr="00180B82" w:rsidSect="00CD1A07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r w:rsidRPr="00180B82">
        <w:rPr>
          <w:szCs w:val="24"/>
        </w:rPr>
        <w:t>Улучшение качества жизни населения сельского поселения за счет увеличения уровня обеспеченности объе</w:t>
      </w:r>
      <w:r>
        <w:rPr>
          <w:szCs w:val="24"/>
        </w:rPr>
        <w:t>ктами социальной инфраструктуры.</w:t>
      </w:r>
    </w:p>
    <w:p w:rsidR="00BB76EB" w:rsidRPr="00180B82" w:rsidRDefault="00BB76EB" w:rsidP="00180B82">
      <w:pPr>
        <w:rPr>
          <w:szCs w:val="24"/>
        </w:rPr>
      </w:pPr>
      <w:bookmarkStart w:id="4" w:name="_Toc447102812"/>
      <w:bookmarkEnd w:id="2"/>
      <w:bookmarkEnd w:id="4"/>
    </w:p>
    <w:sectPr w:rsidR="00BB76EB" w:rsidRPr="00180B82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C6" w:rsidRDefault="003940C6" w:rsidP="00BB76EB">
      <w:r>
        <w:separator/>
      </w:r>
    </w:p>
  </w:endnote>
  <w:endnote w:type="continuationSeparator" w:id="0">
    <w:p w:rsidR="003940C6" w:rsidRDefault="003940C6" w:rsidP="00B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07" w:rsidRDefault="004851D6" w:rsidP="00CD1A07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D1A07" w:rsidRDefault="003940C6" w:rsidP="00CD1A0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07" w:rsidRPr="00C727AA" w:rsidRDefault="003940C6">
    <w:pPr>
      <w:pStyle w:val="ac"/>
      <w:jc w:val="right"/>
      <w:rPr>
        <w:lang w:val="en-US"/>
      </w:rPr>
    </w:pPr>
  </w:p>
  <w:p w:rsidR="00CD1A07" w:rsidRDefault="003940C6" w:rsidP="00CD1A0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07" w:rsidRDefault="003940C6" w:rsidP="00CD1A07">
    <w:pPr>
      <w:pStyle w:val="ac"/>
      <w:jc w:val="right"/>
    </w:pPr>
  </w:p>
  <w:p w:rsidR="00CD1A07" w:rsidRDefault="003940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C6" w:rsidRDefault="003940C6" w:rsidP="00BB76EB">
      <w:r>
        <w:separator/>
      </w:r>
    </w:p>
  </w:footnote>
  <w:footnote w:type="continuationSeparator" w:id="0">
    <w:p w:rsidR="003940C6" w:rsidRDefault="003940C6" w:rsidP="00B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041E2A"/>
    <w:rsid w:val="000A4444"/>
    <w:rsid w:val="00132EF4"/>
    <w:rsid w:val="00180B82"/>
    <w:rsid w:val="001F4D8E"/>
    <w:rsid w:val="00230B4E"/>
    <w:rsid w:val="00231F6B"/>
    <w:rsid w:val="00237B5A"/>
    <w:rsid w:val="003251AB"/>
    <w:rsid w:val="00362717"/>
    <w:rsid w:val="00366B7B"/>
    <w:rsid w:val="003940C6"/>
    <w:rsid w:val="00427449"/>
    <w:rsid w:val="00470AF0"/>
    <w:rsid w:val="004851D6"/>
    <w:rsid w:val="006672ED"/>
    <w:rsid w:val="006A64C3"/>
    <w:rsid w:val="007459B0"/>
    <w:rsid w:val="007B0D09"/>
    <w:rsid w:val="007B5B93"/>
    <w:rsid w:val="00845307"/>
    <w:rsid w:val="009C4DFD"/>
    <w:rsid w:val="009E0366"/>
    <w:rsid w:val="00A52BB6"/>
    <w:rsid w:val="00BA2B7F"/>
    <w:rsid w:val="00BB76EB"/>
    <w:rsid w:val="00CF5642"/>
    <w:rsid w:val="00D17372"/>
    <w:rsid w:val="00D7664B"/>
    <w:rsid w:val="00DD7E24"/>
    <w:rsid w:val="00E40EEF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BB76E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BB76E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BB76E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2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BB76EB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paragraph" w:styleId="a7">
    <w:name w:val="No Spacing"/>
    <w:basedOn w:val="a"/>
    <w:uiPriority w:val="1"/>
    <w:qFormat/>
    <w:rsid w:val="00BB76EB"/>
    <w:rPr>
      <w:szCs w:val="24"/>
    </w:rPr>
  </w:style>
  <w:style w:type="paragraph" w:styleId="a8">
    <w:name w:val="List"/>
    <w:basedOn w:val="a"/>
    <w:link w:val="a9"/>
    <w:rsid w:val="00BB76EB"/>
    <w:pPr>
      <w:spacing w:before="120" w:after="60"/>
      <w:jc w:val="both"/>
    </w:pPr>
    <w:rPr>
      <w:szCs w:val="24"/>
    </w:rPr>
  </w:style>
  <w:style w:type="character" w:customStyle="1" w:styleId="a9">
    <w:name w:val="Список Знак"/>
    <w:link w:val="a8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BB76EB"/>
    <w:rPr>
      <w:sz w:val="16"/>
      <w:szCs w:val="16"/>
    </w:rPr>
  </w:style>
  <w:style w:type="paragraph" w:customStyle="1" w:styleId="ab">
    <w:name w:val="Табличный_слева"/>
    <w:basedOn w:val="a"/>
    <w:rsid w:val="00BB76EB"/>
    <w:rPr>
      <w:sz w:val="22"/>
      <w:szCs w:val="22"/>
    </w:rPr>
  </w:style>
  <w:style w:type="paragraph" w:styleId="ac">
    <w:name w:val="footer"/>
    <w:aliases w:val=" Знак, Знак6, Знак14,Знак6"/>
    <w:basedOn w:val="a"/>
    <w:link w:val="ad"/>
    <w:uiPriority w:val="99"/>
    <w:unhideWhenUsed/>
    <w:rsid w:val="00BB76EB"/>
    <w:pPr>
      <w:tabs>
        <w:tab w:val="center" w:pos="4677"/>
        <w:tab w:val="right" w:pos="9355"/>
      </w:tabs>
      <w:ind w:firstLine="680"/>
      <w:jc w:val="both"/>
    </w:pPr>
    <w:rPr>
      <w:szCs w:val="24"/>
    </w:rPr>
  </w:style>
  <w:style w:type="character" w:customStyle="1" w:styleId="ad">
    <w:name w:val="Нижний колонтитул Знак"/>
    <w:aliases w:val=" Знак Знак, Знак6 Знак, Знак14 Знак,Знак6 Знак"/>
    <w:basedOn w:val="a0"/>
    <w:link w:val="ac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1 Знак Знак Знак Знак, Знак1 Знак Знак Знак"/>
    <w:basedOn w:val="a"/>
    <w:link w:val="af"/>
    <w:uiPriority w:val="99"/>
    <w:unhideWhenUsed/>
    <w:rsid w:val="00BB76EB"/>
    <w:pPr>
      <w:spacing w:after="120" w:line="360" w:lineRule="auto"/>
      <w:ind w:firstLine="709"/>
      <w:jc w:val="both"/>
    </w:pPr>
    <w:rPr>
      <w:szCs w:val="24"/>
    </w:rPr>
  </w:style>
  <w:style w:type="character" w:customStyle="1" w:styleId="af">
    <w:name w:val="Основной текст Знак"/>
    <w:aliases w:val=" Знак1 Знак Знак Знак Знак Знак, Знак1 Знак Знак Знак Знак1"/>
    <w:basedOn w:val="a0"/>
    <w:link w:val="ae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6EB"/>
    <w:pPr>
      <w:spacing w:line="360" w:lineRule="auto"/>
      <w:ind w:firstLine="708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 Знак1"/>
    <w:basedOn w:val="a"/>
    <w:link w:val="22"/>
    <w:rsid w:val="00BB76EB"/>
    <w:pPr>
      <w:spacing w:line="360" w:lineRule="auto"/>
      <w:ind w:firstLine="680"/>
      <w:jc w:val="center"/>
    </w:pPr>
    <w:rPr>
      <w:b/>
      <w:bCs/>
      <w:caps/>
      <w:szCs w:val="24"/>
    </w:rPr>
  </w:style>
  <w:style w:type="character" w:customStyle="1" w:styleId="22">
    <w:name w:val="Основной текст 2 Знак"/>
    <w:aliases w:val=" Знак1 Знак"/>
    <w:basedOn w:val="a0"/>
    <w:link w:val="21"/>
    <w:rsid w:val="00BB76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2">
    <w:name w:val="page number"/>
    <w:basedOn w:val="a0"/>
    <w:rsid w:val="00BB76EB"/>
  </w:style>
  <w:style w:type="paragraph" w:customStyle="1" w:styleId="S">
    <w:name w:val="S_Обычный"/>
    <w:basedOn w:val="a"/>
    <w:link w:val="S0"/>
    <w:qFormat/>
    <w:rsid w:val="00BB76EB"/>
    <w:pPr>
      <w:spacing w:before="120" w:after="60"/>
      <w:ind w:firstLine="567"/>
      <w:jc w:val="both"/>
    </w:pPr>
    <w:rPr>
      <w:szCs w:val="24"/>
      <w:lang w:eastAsia="ar-SA"/>
    </w:rPr>
  </w:style>
  <w:style w:type="character" w:customStyle="1" w:styleId="S0">
    <w:name w:val="S_Обычный Знак"/>
    <w:link w:val="S"/>
    <w:rsid w:val="00BB76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_абзац"/>
    <w:basedOn w:val="a"/>
    <w:link w:val="af4"/>
    <w:qFormat/>
    <w:rsid w:val="00BB76EB"/>
    <w:pPr>
      <w:spacing w:line="276" w:lineRule="auto"/>
      <w:ind w:firstLine="709"/>
      <w:jc w:val="both"/>
    </w:pPr>
    <w:rPr>
      <w:szCs w:val="24"/>
    </w:rPr>
  </w:style>
  <w:style w:type="character" w:customStyle="1" w:styleId="af4">
    <w:name w:val="_абзац Знак"/>
    <w:link w:val="af3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B76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BB76E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BB76E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BB76E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2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BB76EB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BB76EB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paragraph" w:styleId="a7">
    <w:name w:val="No Spacing"/>
    <w:basedOn w:val="a"/>
    <w:uiPriority w:val="1"/>
    <w:qFormat/>
    <w:rsid w:val="00BB76EB"/>
    <w:rPr>
      <w:szCs w:val="24"/>
    </w:rPr>
  </w:style>
  <w:style w:type="paragraph" w:styleId="a8">
    <w:name w:val="List"/>
    <w:basedOn w:val="a"/>
    <w:link w:val="a9"/>
    <w:rsid w:val="00BB76EB"/>
    <w:pPr>
      <w:spacing w:before="120" w:after="60"/>
      <w:jc w:val="both"/>
    </w:pPr>
    <w:rPr>
      <w:szCs w:val="24"/>
    </w:rPr>
  </w:style>
  <w:style w:type="character" w:customStyle="1" w:styleId="a9">
    <w:name w:val="Список Знак"/>
    <w:link w:val="a8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BB76EB"/>
    <w:rPr>
      <w:sz w:val="16"/>
      <w:szCs w:val="16"/>
    </w:rPr>
  </w:style>
  <w:style w:type="paragraph" w:customStyle="1" w:styleId="ab">
    <w:name w:val="Табличный_слева"/>
    <w:basedOn w:val="a"/>
    <w:rsid w:val="00BB76EB"/>
    <w:rPr>
      <w:sz w:val="22"/>
      <w:szCs w:val="22"/>
    </w:rPr>
  </w:style>
  <w:style w:type="paragraph" w:styleId="ac">
    <w:name w:val="footer"/>
    <w:aliases w:val=" Знак, Знак6, Знак14,Знак6"/>
    <w:basedOn w:val="a"/>
    <w:link w:val="ad"/>
    <w:uiPriority w:val="99"/>
    <w:unhideWhenUsed/>
    <w:rsid w:val="00BB76EB"/>
    <w:pPr>
      <w:tabs>
        <w:tab w:val="center" w:pos="4677"/>
        <w:tab w:val="right" w:pos="9355"/>
      </w:tabs>
      <w:ind w:firstLine="680"/>
      <w:jc w:val="both"/>
    </w:pPr>
    <w:rPr>
      <w:szCs w:val="24"/>
    </w:rPr>
  </w:style>
  <w:style w:type="character" w:customStyle="1" w:styleId="ad">
    <w:name w:val="Нижний колонтитул Знак"/>
    <w:aliases w:val=" Знак Знак, Знак6 Знак, Знак14 Знак,Знак6 Знак"/>
    <w:basedOn w:val="a0"/>
    <w:link w:val="ac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1 Знак Знак Знак Знак, Знак1 Знак Знак Знак"/>
    <w:basedOn w:val="a"/>
    <w:link w:val="af"/>
    <w:uiPriority w:val="99"/>
    <w:unhideWhenUsed/>
    <w:rsid w:val="00BB76EB"/>
    <w:pPr>
      <w:spacing w:after="120" w:line="360" w:lineRule="auto"/>
      <w:ind w:firstLine="709"/>
      <w:jc w:val="both"/>
    </w:pPr>
    <w:rPr>
      <w:szCs w:val="24"/>
    </w:rPr>
  </w:style>
  <w:style w:type="character" w:customStyle="1" w:styleId="af">
    <w:name w:val="Основной текст Знак"/>
    <w:aliases w:val=" Знак1 Знак Знак Знак Знак Знак, Знак1 Знак Знак Знак Знак1"/>
    <w:basedOn w:val="a0"/>
    <w:link w:val="ae"/>
    <w:uiPriority w:val="99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6EB"/>
    <w:pPr>
      <w:spacing w:line="360" w:lineRule="auto"/>
      <w:ind w:firstLine="708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 Знак1"/>
    <w:basedOn w:val="a"/>
    <w:link w:val="22"/>
    <w:rsid w:val="00BB76EB"/>
    <w:pPr>
      <w:spacing w:line="360" w:lineRule="auto"/>
      <w:ind w:firstLine="680"/>
      <w:jc w:val="center"/>
    </w:pPr>
    <w:rPr>
      <w:b/>
      <w:bCs/>
      <w:caps/>
      <w:szCs w:val="24"/>
    </w:rPr>
  </w:style>
  <w:style w:type="character" w:customStyle="1" w:styleId="22">
    <w:name w:val="Основной текст 2 Знак"/>
    <w:aliases w:val=" Знак1 Знак"/>
    <w:basedOn w:val="a0"/>
    <w:link w:val="21"/>
    <w:rsid w:val="00BB76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2">
    <w:name w:val="page number"/>
    <w:basedOn w:val="a0"/>
    <w:rsid w:val="00BB76EB"/>
  </w:style>
  <w:style w:type="paragraph" w:customStyle="1" w:styleId="S">
    <w:name w:val="S_Обычный"/>
    <w:basedOn w:val="a"/>
    <w:link w:val="S0"/>
    <w:qFormat/>
    <w:rsid w:val="00BB76EB"/>
    <w:pPr>
      <w:spacing w:before="120" w:after="60"/>
      <w:ind w:firstLine="567"/>
      <w:jc w:val="both"/>
    </w:pPr>
    <w:rPr>
      <w:szCs w:val="24"/>
      <w:lang w:eastAsia="ar-SA"/>
    </w:rPr>
  </w:style>
  <w:style w:type="character" w:customStyle="1" w:styleId="S0">
    <w:name w:val="S_Обычный Знак"/>
    <w:link w:val="S"/>
    <w:rsid w:val="00BB76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_абзац"/>
    <w:basedOn w:val="a"/>
    <w:link w:val="af4"/>
    <w:qFormat/>
    <w:rsid w:val="00BB76EB"/>
    <w:pPr>
      <w:spacing w:line="276" w:lineRule="auto"/>
      <w:ind w:firstLine="709"/>
      <w:jc w:val="both"/>
    </w:pPr>
    <w:rPr>
      <w:szCs w:val="24"/>
    </w:rPr>
  </w:style>
  <w:style w:type="character" w:customStyle="1" w:styleId="af4">
    <w:name w:val="_абзац Знак"/>
    <w:link w:val="af3"/>
    <w:rsid w:val="00BB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B76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B7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7E9D3070906742A1950B8B971A8DE2E5E054BF55EB61C8A73225696F0ACBCFEDC1EAD94D15729Bc40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83AB-59B5-4ADF-B824-1FFEBA86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2019-02-07T04:19:00Z</cp:lastPrinted>
  <dcterms:created xsi:type="dcterms:W3CDTF">2019-09-27T02:23:00Z</dcterms:created>
  <dcterms:modified xsi:type="dcterms:W3CDTF">2019-09-27T02:23:00Z</dcterms:modified>
</cp:coreProperties>
</file>