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Оценка эффективности реализации Муниципальной программы </w:t>
      </w:r>
    </w:p>
    <w:p w:rsidR="009E00A3" w:rsidRDefault="009E00A3" w:rsidP="009E00A3">
      <w:pPr>
        <w:jc w:val="center"/>
        <w:rPr>
          <w:b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«Защита населения и территории </w:t>
      </w:r>
      <w:r>
        <w:rPr>
          <w:b/>
          <w:sz w:val="48"/>
          <w:szCs w:val="48"/>
        </w:rPr>
        <w:t xml:space="preserve">Краснокутского сельского поселения Спасского муниципального района на 2023 - 2025годы»  </w:t>
      </w:r>
    </w:p>
    <w:p w:rsidR="009E00A3" w:rsidRDefault="009E00A3" w:rsidP="009E00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 – этапа исполнения программы </w:t>
      </w:r>
    </w:p>
    <w:p w:rsidR="009E00A3" w:rsidRDefault="009E00A3" w:rsidP="009E00A3">
      <w:pPr>
        <w:pStyle w:val="ConsPlusNormal"/>
        <w:widowControl/>
        <w:ind w:left="5103" w:right="-1" w:firstLine="0"/>
        <w:outlineLvl w:val="3"/>
        <w:rPr>
          <w:rFonts w:ascii="Times New Roman" w:hAnsi="Times New Roman" w:cs="Times New Roman"/>
          <w:sz w:val="48"/>
          <w:szCs w:val="48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 1</w:t>
      </w: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объемов финансирования мероприятий Муниципальной программы </w:t>
      </w:r>
    </w:p>
    <w:p w:rsidR="009E00A3" w:rsidRDefault="009E00A3" w:rsidP="009E00A3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«Защита населения и территории </w:t>
      </w:r>
      <w:r>
        <w:rPr>
          <w:b/>
          <w:sz w:val="20"/>
          <w:szCs w:val="20"/>
        </w:rPr>
        <w:t xml:space="preserve">Краснокутского сельского поселения Спасского муниципального района на 2023 - 2025годы»  </w:t>
      </w:r>
    </w:p>
    <w:p w:rsidR="009E00A3" w:rsidRDefault="009E00A3" w:rsidP="009E00A3">
      <w:pPr>
        <w:jc w:val="center"/>
        <w:rPr>
          <w:b/>
          <w:sz w:val="20"/>
          <w:szCs w:val="20"/>
        </w:rPr>
      </w:pPr>
    </w:p>
    <w:p w:rsidR="009E00A3" w:rsidRDefault="009E00A3" w:rsidP="009E00A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1559"/>
        <w:gridCol w:w="992"/>
        <w:gridCol w:w="1213"/>
        <w:gridCol w:w="913"/>
        <w:gridCol w:w="425"/>
        <w:gridCol w:w="1559"/>
      </w:tblGrid>
      <w:tr w:rsidR="009E00A3" w:rsidTr="009E00A3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задачи,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9E00A3" w:rsidTr="009E00A3">
        <w:trPr>
          <w:cantSplit/>
          <w:trHeight w:val="283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</w:tr>
      <w:tr w:rsidR="009E00A3" w:rsidTr="009E00A3">
        <w:trPr>
          <w:cantSplit/>
          <w:trHeight w:val="283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br/>
              <w:t>-/+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</w:tr>
      <w:tr w:rsidR="009E00A3" w:rsidTr="009E00A3">
        <w:trPr>
          <w:cantSplit/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00A3" w:rsidTr="009E00A3">
        <w:trPr>
          <w:cantSplit/>
          <w:trHeight w:val="283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                                                                            </w:t>
            </w:r>
          </w:p>
        </w:tc>
      </w:tr>
      <w:tr w:rsidR="009E00A3" w:rsidTr="009E00A3">
        <w:trPr>
          <w:cantSplit/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1</w:t>
            </w:r>
            <w:r>
              <w:rPr>
                <w:rFonts w:ascii="Times New Roman" w:hAnsi="Times New Roman" w:cs="Times New Roman"/>
              </w:rPr>
              <w:t xml:space="preserve">   Приобретение указателей и знаков пожарной безопасности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Краснокутского сельского поселения </w:t>
            </w:r>
          </w:p>
        </w:tc>
      </w:tr>
      <w:tr w:rsidR="009E00A3" w:rsidTr="009E00A3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</w:t>
            </w:r>
            <w:r>
              <w:rPr>
                <w:sz w:val="20"/>
                <w:szCs w:val="20"/>
              </w:rPr>
              <w:t xml:space="preserve">   Устройство защитных противопожарных полос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всеевка</w:t>
            </w:r>
            <w:proofErr w:type="spellEnd"/>
            <w:r>
              <w:rPr>
                <w:sz w:val="20"/>
                <w:szCs w:val="20"/>
              </w:rPr>
              <w:t xml:space="preserve">, с. Вишневка, </w:t>
            </w:r>
            <w:proofErr w:type="spellStart"/>
            <w:r>
              <w:rPr>
                <w:sz w:val="20"/>
                <w:szCs w:val="20"/>
              </w:rPr>
              <w:t>с.Красный</w:t>
            </w:r>
            <w:proofErr w:type="spellEnd"/>
            <w:r>
              <w:rPr>
                <w:sz w:val="20"/>
                <w:szCs w:val="20"/>
              </w:rPr>
              <w:t xml:space="preserve"> Кут</w:t>
            </w: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b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b/>
              </w:rPr>
              <w:t>22,46</w:t>
            </w: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b/>
              </w:rPr>
              <w:t>52,39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b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b/>
              </w:rPr>
              <w:t>22,46</w:t>
            </w: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b/>
              </w:rPr>
              <w:t>52,39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Краснокутского сельского поселения</w:t>
            </w:r>
          </w:p>
        </w:tc>
      </w:tr>
      <w:tr w:rsidR="009E00A3" w:rsidTr="009E00A3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left="360"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3</w:t>
            </w:r>
            <w:r>
              <w:rPr>
                <w:rFonts w:ascii="Times New Roman" w:hAnsi="Times New Roman" w:cs="Times New Roman"/>
              </w:rPr>
              <w:t xml:space="preserve">   Приобретение мотопомп, пожарных рукавов, воздуходувок, сенокосилок, </w:t>
            </w:r>
            <w:proofErr w:type="spellStart"/>
            <w:r>
              <w:rPr>
                <w:rFonts w:ascii="Times New Roman" w:hAnsi="Times New Roman" w:cs="Times New Roman"/>
              </w:rPr>
              <w:t>бензокосилок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бензопил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b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b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b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b/>
              </w:rPr>
              <w:t>148,0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b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b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b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b/>
              </w:rPr>
              <w:t>148,0</w:t>
            </w: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b/>
              </w:rPr>
            </w:pP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Краснокутского сельского поселения, </w:t>
            </w: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</w:tc>
      </w:tr>
    </w:tbl>
    <w:p w:rsidR="009E00A3" w:rsidRDefault="009E00A3" w:rsidP="009E00A3">
      <w:pPr>
        <w:pStyle w:val="ConsPlusNormal"/>
        <w:widowControl/>
        <w:ind w:right="-1" w:firstLine="0"/>
        <w:jc w:val="center"/>
        <w:outlineLvl w:val="3"/>
        <w:rPr>
          <w:rFonts w:ascii="Times New Roman" w:hAnsi="Times New Roman" w:cs="Times New Roman"/>
        </w:rPr>
      </w:pPr>
    </w:p>
    <w:p w:rsidR="009E00A3" w:rsidRDefault="009E00A3" w:rsidP="009E00A3">
      <w:pPr>
        <w:pStyle w:val="ConsPlusNormal"/>
        <w:widowControl/>
        <w:ind w:right="-1" w:firstLine="0"/>
        <w:jc w:val="center"/>
        <w:outlineLvl w:val="3"/>
        <w:rPr>
          <w:rFonts w:ascii="Times New Roman" w:hAnsi="Times New Roman" w:cs="Times New Roman"/>
        </w:rPr>
      </w:pPr>
    </w:p>
    <w:p w:rsidR="009E00A3" w:rsidRDefault="009E00A3" w:rsidP="009E00A3">
      <w:pPr>
        <w:pStyle w:val="ConsPlusNormal"/>
        <w:widowControl/>
        <w:ind w:right="-1" w:firstLine="0"/>
        <w:jc w:val="center"/>
        <w:outlineLvl w:val="3"/>
        <w:rPr>
          <w:rFonts w:ascii="Times New Roman" w:hAnsi="Times New Roman" w:cs="Times New Roman"/>
        </w:rPr>
      </w:pP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2</w:t>
      </w: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показателей результативности Муниципальной программы </w:t>
      </w:r>
    </w:p>
    <w:p w:rsidR="009E00A3" w:rsidRDefault="009E00A3" w:rsidP="009E00A3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«Защита населения и территории </w:t>
      </w:r>
      <w:r>
        <w:rPr>
          <w:b/>
          <w:sz w:val="20"/>
          <w:szCs w:val="20"/>
        </w:rPr>
        <w:t xml:space="preserve">Краснокутского сельского поселения Спасского муниципального района на 2023 - 2025годы»  </w:t>
      </w:r>
    </w:p>
    <w:p w:rsidR="009E00A3" w:rsidRDefault="009E00A3" w:rsidP="009E00A3">
      <w:pPr>
        <w:jc w:val="center"/>
        <w:rPr>
          <w:b/>
          <w:sz w:val="20"/>
          <w:szCs w:val="20"/>
        </w:rPr>
      </w:pPr>
    </w:p>
    <w:p w:rsidR="009E00A3" w:rsidRDefault="009E00A3" w:rsidP="009E00A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71"/>
        <w:gridCol w:w="1465"/>
        <w:gridCol w:w="1276"/>
        <w:gridCol w:w="1276"/>
        <w:gridCol w:w="779"/>
        <w:gridCol w:w="780"/>
      </w:tblGrid>
      <w:tr w:rsidR="009E00A3" w:rsidTr="009E00A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9E00A3" w:rsidTr="009E00A3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E00A3" w:rsidTr="009E00A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00A3" w:rsidTr="009E00A3">
        <w:trPr>
          <w:cantSplit/>
          <w:trHeight w:val="12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  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результативности 1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количества пожаров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00A3" w:rsidTr="009E00A3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  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результативности 2</w:t>
            </w:r>
            <w:r>
              <w:rPr>
                <w:rFonts w:ascii="Times New Roman" w:hAnsi="Times New Roman" w:cs="Times New Roman"/>
              </w:rPr>
              <w:t xml:space="preserve">     снижение количества  пострадавших и погибших на пожарах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00A3" w:rsidTr="009E00A3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  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результативности </w:t>
            </w:r>
            <w:r>
              <w:rPr>
                <w:rFonts w:ascii="Times New Roman" w:hAnsi="Times New Roman" w:cs="Times New Roman"/>
              </w:rPr>
              <w:t xml:space="preserve">     снижение материального ущерба от пожаров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E00A3" w:rsidRDefault="009E00A3" w:rsidP="009E00A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</w:p>
    <w:p w:rsidR="009E00A3" w:rsidRDefault="009E00A3" w:rsidP="009E00A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00A3" w:rsidRDefault="009E00A3" w:rsidP="009E00A3">
      <w:pPr>
        <w:pStyle w:val="ConsPlusNormal"/>
        <w:widowControl/>
        <w:ind w:right="-1" w:firstLine="0"/>
        <w:jc w:val="right"/>
        <w:outlineLvl w:val="3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lastRenderedPageBreak/>
        <w:t>Таблица № 3</w:t>
      </w: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jc w:val="center"/>
        <w:rPr>
          <w:b/>
          <w:sz w:val="26"/>
          <w:szCs w:val="26"/>
        </w:rPr>
      </w:pPr>
      <w:r>
        <w:rPr>
          <w:b/>
          <w:sz w:val="26"/>
          <w:szCs w:val="16"/>
        </w:rPr>
        <w:t xml:space="preserve">Оценка эффективности реализации </w:t>
      </w:r>
      <w:r>
        <w:rPr>
          <w:b/>
          <w:sz w:val="26"/>
          <w:szCs w:val="22"/>
        </w:rPr>
        <w:t>Муниципальной программы</w:t>
      </w:r>
      <w:r>
        <w:rPr>
          <w:sz w:val="26"/>
          <w:szCs w:val="22"/>
        </w:rPr>
        <w:t xml:space="preserve"> </w:t>
      </w:r>
      <w:r>
        <w:rPr>
          <w:b/>
          <w:color w:val="000000"/>
          <w:sz w:val="26"/>
          <w:szCs w:val="26"/>
        </w:rPr>
        <w:t xml:space="preserve">«Защита населения и территории </w:t>
      </w:r>
      <w:r>
        <w:rPr>
          <w:b/>
          <w:sz w:val="26"/>
          <w:szCs w:val="26"/>
        </w:rPr>
        <w:t xml:space="preserve">Краснокутского сельского поселения Спасского муниципального района на 2023 - 2025годы»  </w:t>
      </w:r>
    </w:p>
    <w:p w:rsidR="009E00A3" w:rsidRDefault="009E00A3" w:rsidP="009E00A3">
      <w:pPr>
        <w:jc w:val="center"/>
        <w:rPr>
          <w:b/>
          <w:sz w:val="26"/>
          <w:szCs w:val="26"/>
        </w:rPr>
      </w:pPr>
    </w:p>
    <w:p w:rsidR="009E00A3" w:rsidRDefault="009E00A3" w:rsidP="009E00A3">
      <w:pPr>
        <w:pStyle w:val="ConsPlusTitle"/>
        <w:widowControl/>
        <w:ind w:right="-1"/>
        <w:jc w:val="center"/>
        <w:rPr>
          <w:sz w:val="26"/>
        </w:rPr>
      </w:pPr>
      <w:r>
        <w:rPr>
          <w:rFonts w:ascii="Times New Roman" w:hAnsi="Times New Roman" w:cs="Times New Roman"/>
          <w:sz w:val="26"/>
          <w:szCs w:val="22"/>
        </w:rPr>
        <w:t xml:space="preserve"> </w:t>
      </w:r>
    </w:p>
    <w:p w:rsidR="009E00A3" w:rsidRDefault="009E00A3" w:rsidP="009E00A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2500"/>
        <w:gridCol w:w="2300"/>
        <w:gridCol w:w="1956"/>
      </w:tblGrid>
      <w:tr w:rsidR="009E00A3" w:rsidTr="009E00A3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</w:t>
            </w:r>
            <w:r>
              <w:rPr>
                <w:rFonts w:ascii="Times New Roman" w:hAnsi="Times New Roman" w:cs="Times New Roman"/>
              </w:rPr>
              <w:br/>
              <w:t>результативности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объемы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>
              <w:rPr>
                <w:rFonts w:ascii="Times New Roman" w:hAnsi="Times New Roman" w:cs="Times New Roman"/>
              </w:rPr>
              <w:br/>
              <w:t xml:space="preserve">(суммарно по всем </w:t>
            </w:r>
            <w:r>
              <w:rPr>
                <w:rFonts w:ascii="Times New Roman" w:hAnsi="Times New Roman" w:cs="Times New Roman"/>
              </w:rPr>
              <w:br/>
              <w:t xml:space="preserve">источникам), </w:t>
            </w:r>
          </w:p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  </w:t>
            </w:r>
            <w:r>
              <w:rPr>
                <w:rFonts w:ascii="Times New Roman" w:hAnsi="Times New Roman" w:cs="Times New Roman"/>
              </w:rPr>
              <w:br/>
              <w:t xml:space="preserve">значение    </w:t>
            </w:r>
            <w:r>
              <w:rPr>
                <w:rFonts w:ascii="Times New Roman" w:hAnsi="Times New Roman" w:cs="Times New Roman"/>
              </w:rPr>
              <w:br/>
              <w:t xml:space="preserve">показателя   </w:t>
            </w:r>
            <w:r>
              <w:rPr>
                <w:rFonts w:ascii="Times New Roman" w:hAnsi="Times New Roman" w:cs="Times New Roman"/>
              </w:rPr>
              <w:br/>
              <w:t xml:space="preserve">(индикатора)  </w:t>
            </w:r>
            <w:r>
              <w:rPr>
                <w:rFonts w:ascii="Times New Roman" w:hAnsi="Times New Roman" w:cs="Times New Roman"/>
              </w:rPr>
              <w:br/>
              <w:t>результативности</w:t>
            </w:r>
            <w:r>
              <w:rPr>
                <w:rFonts w:ascii="Times New Roman" w:hAnsi="Times New Roman" w:cs="Times New Roman"/>
              </w:rPr>
              <w:br/>
              <w:t xml:space="preserve">в натуральном  </w:t>
            </w:r>
            <w:r>
              <w:rPr>
                <w:rFonts w:ascii="Times New Roman" w:hAnsi="Times New Roman" w:cs="Times New Roman"/>
              </w:rPr>
              <w:br/>
              <w:t xml:space="preserve">или стоимостном </w:t>
            </w:r>
            <w:r>
              <w:rPr>
                <w:rFonts w:ascii="Times New Roman" w:hAnsi="Times New Roman" w:cs="Times New Roman"/>
              </w:rPr>
              <w:br/>
              <w:t>выражении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</w:t>
            </w:r>
            <w:r>
              <w:rPr>
                <w:rFonts w:ascii="Times New Roman" w:hAnsi="Times New Roman" w:cs="Times New Roman"/>
              </w:rPr>
              <w:br/>
              <w:t>реализации МП</w:t>
            </w:r>
            <w:r>
              <w:rPr>
                <w:rFonts w:ascii="Times New Roman" w:hAnsi="Times New Roman" w:cs="Times New Roman"/>
              </w:rPr>
              <w:br/>
              <w:t>(5 = 4/3)</w:t>
            </w:r>
          </w:p>
        </w:tc>
      </w:tr>
      <w:tr w:rsidR="009E00A3" w:rsidTr="009E00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00A3" w:rsidTr="009E00A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 «Степень </w:t>
            </w:r>
            <w:proofErr w:type="gramStart"/>
            <w:r>
              <w:rPr>
                <w:rFonts w:ascii="Times New Roman" w:hAnsi="Times New Roman" w:cs="Times New Roman"/>
                <w:iCs/>
                <w:lang w:eastAsia="en-US"/>
              </w:rPr>
              <w:t>достижения планируемых результатов целевых индикаторов реализации мероприятий Программы</w:t>
            </w:r>
            <w:proofErr w:type="gramEnd"/>
            <w:r>
              <w:rPr>
                <w:rFonts w:ascii="Times New Roman" w:hAnsi="Times New Roman" w:cs="Times New Roman"/>
                <w:iCs/>
                <w:lang w:eastAsia="en-US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229,849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229,849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1</w:t>
            </w:r>
          </w:p>
        </w:tc>
      </w:tr>
      <w:tr w:rsidR="009E00A3" w:rsidTr="009E00A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 «Степень соответствия бюджетных затрат на мероприятия Программы запланированному уровню затрат»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16"/>
              </w:rPr>
              <w:t>229,849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16"/>
              </w:rPr>
              <w:t>229,849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16"/>
              </w:rPr>
              <w:t>1</w:t>
            </w:r>
          </w:p>
        </w:tc>
      </w:tr>
      <w:tr w:rsidR="009E00A3" w:rsidTr="009E00A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 «Эффективность использования бюджетных средств на реализацию отдельных мероприятий»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16"/>
              </w:rPr>
              <w:t>229,849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16"/>
              </w:rPr>
              <w:t>229,849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A3" w:rsidRDefault="009E00A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16"/>
              </w:rPr>
              <w:t>1</w:t>
            </w:r>
          </w:p>
        </w:tc>
      </w:tr>
    </w:tbl>
    <w:p w:rsidR="009E00A3" w:rsidRDefault="009E00A3" w:rsidP="009E00A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16"/>
        </w:rPr>
      </w:pPr>
    </w:p>
    <w:p w:rsidR="009E00A3" w:rsidRDefault="009E00A3" w:rsidP="009E00A3">
      <w:pPr>
        <w:ind w:right="-1"/>
        <w:rPr>
          <w:sz w:val="26"/>
        </w:rPr>
      </w:pPr>
    </w:p>
    <w:p w:rsidR="009E00A3" w:rsidRDefault="009E00A3" w:rsidP="009E00A3">
      <w:pPr>
        <w:jc w:val="center"/>
        <w:rPr>
          <w:b/>
          <w:sz w:val="26"/>
          <w:szCs w:val="26"/>
        </w:rPr>
      </w:pPr>
      <w:r>
        <w:rPr>
          <w:sz w:val="26"/>
          <w:szCs w:val="22"/>
        </w:rPr>
        <w:t xml:space="preserve">Муниципальная программа </w:t>
      </w:r>
      <w:r>
        <w:rPr>
          <w:b/>
          <w:color w:val="000000"/>
          <w:sz w:val="26"/>
          <w:szCs w:val="26"/>
        </w:rPr>
        <w:t xml:space="preserve">«Защита населения и территории </w:t>
      </w:r>
      <w:r>
        <w:rPr>
          <w:b/>
          <w:sz w:val="26"/>
          <w:szCs w:val="26"/>
        </w:rPr>
        <w:t xml:space="preserve">Краснокутского сельского поселения Спасского муниципального района на 2023 - 2025годы»  </w:t>
      </w:r>
    </w:p>
    <w:p w:rsidR="009E00A3" w:rsidRDefault="009E00A3" w:rsidP="009E00A3">
      <w:pPr>
        <w:tabs>
          <w:tab w:val="left" w:pos="1418"/>
        </w:tabs>
        <w:ind w:right="-1" w:firstLine="709"/>
        <w:jc w:val="both"/>
        <w:rPr>
          <w:iCs/>
          <w:sz w:val="26"/>
          <w:szCs w:val="26"/>
          <w:lang w:eastAsia="en-US"/>
        </w:rPr>
      </w:pPr>
      <w:r>
        <w:rPr>
          <w:sz w:val="26"/>
          <w:szCs w:val="16"/>
        </w:rPr>
        <w:t xml:space="preserve">является эффективной, </w:t>
      </w:r>
      <w:proofErr w:type="spellStart"/>
      <w:r>
        <w:rPr>
          <w:sz w:val="26"/>
          <w:szCs w:val="16"/>
        </w:rPr>
        <w:t>т</w:t>
      </w:r>
      <w:proofErr w:type="gramStart"/>
      <w:r>
        <w:rPr>
          <w:sz w:val="26"/>
          <w:szCs w:val="16"/>
        </w:rPr>
        <w:t>.к</w:t>
      </w:r>
      <w:proofErr w:type="spellEnd"/>
      <w:proofErr w:type="gramEnd"/>
      <w:r>
        <w:rPr>
          <w:sz w:val="26"/>
          <w:szCs w:val="16"/>
        </w:rPr>
        <w:t xml:space="preserve"> успешно выполнены запланированные на период ее реализации программные мероприятия.</w:t>
      </w:r>
      <w:r>
        <w:rPr>
          <w:iCs/>
          <w:sz w:val="26"/>
          <w:szCs w:val="26"/>
          <w:lang w:eastAsia="en-US"/>
        </w:rPr>
        <w:t xml:space="preserve"> </w:t>
      </w:r>
    </w:p>
    <w:p w:rsidR="009E00A3" w:rsidRDefault="009E00A3" w:rsidP="009E00A3">
      <w:pPr>
        <w:tabs>
          <w:tab w:val="left" w:pos="1418"/>
        </w:tabs>
        <w:ind w:right="-1" w:firstLine="709"/>
        <w:jc w:val="both"/>
        <w:rPr>
          <w:sz w:val="26"/>
        </w:rPr>
      </w:pPr>
      <w:r>
        <w:rPr>
          <w:sz w:val="26"/>
          <w:szCs w:val="16"/>
        </w:rPr>
        <w:t>Социальная эффективность бюджетных ассигнований признается положительной в связи с достижением социально значимого эффекта в результате выполнения программных мероприятий и реализации программы в целом. Достигнуты  основные цели и конечные результаты реализации программы.</w:t>
      </w:r>
    </w:p>
    <w:p w:rsidR="009E00A3" w:rsidRDefault="009E00A3" w:rsidP="009E00A3">
      <w:pPr>
        <w:ind w:right="-1"/>
        <w:rPr>
          <w:sz w:val="26"/>
        </w:rPr>
      </w:pPr>
    </w:p>
    <w:p w:rsidR="00A550A4" w:rsidRDefault="009E00A3" w:rsidP="009E00A3">
      <w:pPr>
        <w:spacing w:line="232" w:lineRule="auto"/>
        <w:jc w:val="both"/>
      </w:pPr>
      <w:r>
        <w:rPr>
          <w:sz w:val="26"/>
          <w:szCs w:val="26"/>
        </w:rPr>
        <w:t>Укрепление пожарной безопасности территории  Краснокутского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усиление противопожарной защиты населенных пунктов, уменьшение количества пожаров, гибели людей, травматизма и размера   материальных потерь от огня.</w:t>
      </w:r>
      <w:bookmarkStart w:id="0" w:name="_GoBack"/>
      <w:bookmarkEnd w:id="0"/>
    </w:p>
    <w:sectPr w:rsidR="00A5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A3"/>
    <w:rsid w:val="009E00A3"/>
    <w:rsid w:val="00A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0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0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2024-03-04T04:39:00Z</dcterms:created>
  <dcterms:modified xsi:type="dcterms:W3CDTF">2024-03-04T04:39:00Z</dcterms:modified>
</cp:coreProperties>
</file>