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5E" w:rsidRDefault="00B9025E" w:rsidP="00B9025E">
      <w:pPr>
        <w:pStyle w:val="a6"/>
        <w:tabs>
          <w:tab w:val="left" w:pos="5580"/>
        </w:tabs>
      </w:pPr>
      <w:r>
        <w:rPr>
          <w:noProof/>
        </w:rPr>
        <w:drawing>
          <wp:inline distT="0" distB="0" distL="0" distR="0" wp14:anchorId="111AE62B" wp14:editId="4FFCBDBC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B9025E" w:rsidRDefault="00B9025E" w:rsidP="00B9025E">
      <w:pPr>
        <w:pStyle w:val="a6"/>
      </w:pPr>
    </w:p>
    <w:p w:rsidR="00B9025E" w:rsidRDefault="00B9025E" w:rsidP="00B9025E">
      <w:pPr>
        <w:pStyle w:val="a6"/>
        <w:rPr>
          <w:sz w:val="24"/>
          <w:szCs w:val="24"/>
        </w:rPr>
      </w:pPr>
      <w:r w:rsidRPr="00B9025E">
        <w:rPr>
          <w:sz w:val="24"/>
          <w:szCs w:val="24"/>
        </w:rPr>
        <w:t>МУНИЦИПАЛЬНЫЙ КОМИТЕТ</w:t>
      </w:r>
    </w:p>
    <w:p w:rsidR="00EA18DF" w:rsidRPr="00B9025E" w:rsidRDefault="00EA18DF" w:rsidP="00B9025E">
      <w:pPr>
        <w:pStyle w:val="a6"/>
        <w:rPr>
          <w:sz w:val="24"/>
          <w:szCs w:val="24"/>
        </w:rPr>
      </w:pPr>
    </w:p>
    <w:p w:rsidR="00B9025E" w:rsidRPr="00EA18DF" w:rsidRDefault="00B9025E" w:rsidP="00B9025E">
      <w:pPr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DF">
        <w:rPr>
          <w:rFonts w:ascii="Times New Roman" w:hAnsi="Times New Roman" w:cs="Times New Roman"/>
          <w:b/>
          <w:color w:val="000000"/>
          <w:sz w:val="28"/>
          <w:szCs w:val="28"/>
        </w:rPr>
        <w:t>Краснокутского сельского поселения</w:t>
      </w:r>
    </w:p>
    <w:p w:rsidR="00B9025E" w:rsidRPr="00EA18DF" w:rsidRDefault="00B9025E" w:rsidP="00B9025E">
      <w:pPr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DF">
        <w:rPr>
          <w:rFonts w:ascii="Times New Roman" w:hAnsi="Times New Roman" w:cs="Times New Roman"/>
          <w:b/>
          <w:color w:val="000000"/>
          <w:sz w:val="28"/>
          <w:szCs w:val="28"/>
        </w:rPr>
        <w:t>Спасского муниципального района</w:t>
      </w:r>
    </w:p>
    <w:p w:rsidR="00B9025E" w:rsidRPr="00EA18DF" w:rsidRDefault="00B9025E" w:rsidP="00B9025E">
      <w:pPr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DF">
        <w:rPr>
          <w:rFonts w:ascii="Times New Roman" w:hAnsi="Times New Roman" w:cs="Times New Roman"/>
          <w:b/>
          <w:color w:val="000000"/>
          <w:sz w:val="28"/>
          <w:szCs w:val="28"/>
        </w:rPr>
        <w:t>Приморского края</w:t>
      </w:r>
    </w:p>
    <w:p w:rsidR="00B9025E" w:rsidRPr="00B9025E" w:rsidRDefault="00B9025E" w:rsidP="00B9025E">
      <w:pPr>
        <w:shd w:val="clear" w:color="auto" w:fill="FFFFFF"/>
        <w:spacing w:line="22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9025E" w:rsidRPr="00B9025E" w:rsidRDefault="00B9025E" w:rsidP="00B90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25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9025E" w:rsidRPr="00B9025E" w:rsidRDefault="00B9025E" w:rsidP="00B9025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025E" w:rsidRPr="00B9025E" w:rsidRDefault="00B9025E" w:rsidP="00B90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90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9025E">
        <w:rPr>
          <w:rFonts w:ascii="Times New Roman" w:hAnsi="Times New Roman" w:cs="Times New Roman"/>
          <w:sz w:val="24"/>
          <w:szCs w:val="24"/>
        </w:rPr>
        <w:t xml:space="preserve"> 2023 года                         </w:t>
      </w:r>
      <w:proofErr w:type="spellStart"/>
      <w:r w:rsidRPr="00B902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902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025E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B9025E">
        <w:rPr>
          <w:rFonts w:ascii="Times New Roman" w:hAnsi="Times New Roman" w:cs="Times New Roman"/>
          <w:sz w:val="24"/>
          <w:szCs w:val="24"/>
        </w:rPr>
        <w:t xml:space="preserve"> Кут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9025E" w:rsidRPr="00B9025E" w:rsidRDefault="00B9025E" w:rsidP="00B9025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25E" w:rsidRPr="00B9025E" w:rsidRDefault="00B9025E" w:rsidP="00B9025E">
      <w:pPr>
        <w:pStyle w:val="a3"/>
        <w:rPr>
          <w:rFonts w:ascii="Times New Roman" w:hAnsi="Times New Roman" w:cs="Times New Roman"/>
          <w:b/>
        </w:rPr>
      </w:pPr>
      <w:r w:rsidRPr="00B9025E">
        <w:rPr>
          <w:rFonts w:ascii="Times New Roman" w:hAnsi="Times New Roman" w:cs="Times New Roman"/>
          <w:b/>
        </w:rPr>
        <w:t>« Об утверждении  Положения</w:t>
      </w:r>
      <w:r w:rsidRPr="00B9025E">
        <w:rPr>
          <w:rFonts w:ascii="Times New Roman" w:hAnsi="Times New Roman" w:cs="Times New Roman"/>
          <w:b/>
        </w:rPr>
        <w:t xml:space="preserve"> о постоянно действующей комиссии по поступлению и выбытию активов Краснокутского сельского поселения </w:t>
      </w:r>
      <w:r w:rsidRPr="00B9025E">
        <w:rPr>
          <w:rFonts w:ascii="Times New Roman" w:hAnsi="Times New Roman" w:cs="Times New Roman"/>
          <w:b/>
        </w:rPr>
        <w:t>»</w:t>
      </w:r>
    </w:p>
    <w:p w:rsidR="00B9025E" w:rsidRPr="00B9025E" w:rsidRDefault="00B9025E" w:rsidP="00B9025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9025E" w:rsidRPr="00B9025E" w:rsidRDefault="00B9025E" w:rsidP="00B902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9025E" w:rsidRPr="00B9025E" w:rsidRDefault="00B9025E" w:rsidP="00B9025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25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B9025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основании Устава Краснокутского сельского поселения, муниципальный комитет Краснокутского сельского поселения</w:t>
      </w:r>
    </w:p>
    <w:p w:rsidR="00B9025E" w:rsidRPr="00B9025E" w:rsidRDefault="00B9025E" w:rsidP="00B902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25E" w:rsidRPr="00B9025E" w:rsidRDefault="00B9025E" w:rsidP="00B9025E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2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9025E" w:rsidRPr="00B9025E" w:rsidRDefault="00B9025E" w:rsidP="00B9025E">
      <w:pPr>
        <w:shd w:val="clear" w:color="auto" w:fill="FFFFFF"/>
        <w:ind w:left="600"/>
        <w:rPr>
          <w:rFonts w:ascii="Times New Roman" w:hAnsi="Times New Roman" w:cs="Times New Roman"/>
          <w:sz w:val="24"/>
          <w:szCs w:val="24"/>
        </w:rPr>
      </w:pPr>
      <w:r w:rsidRPr="00B9025E">
        <w:rPr>
          <w:rFonts w:ascii="Times New Roman" w:hAnsi="Times New Roman" w:cs="Times New Roman"/>
          <w:sz w:val="24"/>
          <w:szCs w:val="24"/>
        </w:rPr>
        <w:t xml:space="preserve">1.   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постоянно действующей комиссии по поступлению и выбытию активов Краснокутского сельского поселения </w:t>
      </w:r>
      <w:r w:rsidRPr="00B9025E">
        <w:rPr>
          <w:rFonts w:ascii="Times New Roman" w:hAnsi="Times New Roman" w:cs="Times New Roman"/>
          <w:sz w:val="24"/>
          <w:szCs w:val="24"/>
        </w:rPr>
        <w:t xml:space="preserve">  согласно </w:t>
      </w:r>
      <w:proofErr w:type="gramStart"/>
      <w:r w:rsidRPr="00B902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25E">
        <w:rPr>
          <w:rFonts w:ascii="Times New Roman" w:hAnsi="Times New Roman" w:cs="Times New Roman"/>
          <w:sz w:val="24"/>
          <w:szCs w:val="24"/>
        </w:rPr>
        <w:t>приложение №1) к настоящему решению.</w:t>
      </w:r>
    </w:p>
    <w:p w:rsidR="00B9025E" w:rsidRPr="00B9025E" w:rsidRDefault="00B9025E" w:rsidP="00B9025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276" w:lineRule="auto"/>
      </w:pPr>
      <w:r w:rsidRPr="00B9025E">
        <w:t xml:space="preserve">  Настоящее решение  вступает в силу после опубликования в газете </w:t>
      </w:r>
      <w:r w:rsidRPr="00B9025E">
        <w:t xml:space="preserve">          </w:t>
      </w:r>
      <w:r w:rsidRPr="00B9025E">
        <w:t xml:space="preserve">Горизонт» и размещения на официальном сайте </w:t>
      </w:r>
      <w:proofErr w:type="spellStart"/>
      <w:r w:rsidRPr="00B9025E">
        <w:rPr>
          <w:u w:val="single"/>
        </w:rPr>
        <w:t>краснокутское</w:t>
      </w:r>
      <w:proofErr w:type="gramStart"/>
      <w:r w:rsidRPr="00B9025E">
        <w:rPr>
          <w:u w:val="single"/>
        </w:rPr>
        <w:t>.р</w:t>
      </w:r>
      <w:proofErr w:type="gramEnd"/>
      <w:r w:rsidRPr="00B9025E">
        <w:rPr>
          <w:u w:val="single"/>
        </w:rPr>
        <w:t>ф</w:t>
      </w:r>
      <w:proofErr w:type="spellEnd"/>
      <w:r w:rsidRPr="00B9025E">
        <w:t xml:space="preserve">   </w:t>
      </w:r>
      <w:r w:rsidRPr="00B9025E">
        <w:t xml:space="preserve">     а</w:t>
      </w:r>
      <w:r w:rsidRPr="00B9025E">
        <w:t xml:space="preserve">дминистрации Краснокутского сельского поселения  </w:t>
      </w:r>
    </w:p>
    <w:p w:rsidR="00B9025E" w:rsidRPr="00B9025E" w:rsidRDefault="00B9025E" w:rsidP="00B9025E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B902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25E" w:rsidRPr="00B9025E" w:rsidRDefault="00B9025E" w:rsidP="00B9025E">
      <w:pPr>
        <w:rPr>
          <w:rFonts w:ascii="Times New Roman" w:hAnsi="Times New Roman" w:cs="Times New Roman"/>
          <w:sz w:val="24"/>
          <w:szCs w:val="24"/>
        </w:rPr>
      </w:pPr>
      <w:r w:rsidRPr="00B9025E">
        <w:rPr>
          <w:rFonts w:ascii="Times New Roman" w:hAnsi="Times New Roman" w:cs="Times New Roman"/>
          <w:sz w:val="24"/>
          <w:szCs w:val="24"/>
        </w:rPr>
        <w:t xml:space="preserve">          Глава Краснокутского сельского поселения                                      А.Б Петриченко</w:t>
      </w:r>
    </w:p>
    <w:p w:rsidR="00B9025E" w:rsidRPr="00B9025E" w:rsidRDefault="00B9025E" w:rsidP="00B9025E">
      <w:pPr>
        <w:rPr>
          <w:rFonts w:ascii="Times New Roman" w:hAnsi="Times New Roman" w:cs="Times New Roman"/>
          <w:sz w:val="24"/>
          <w:szCs w:val="24"/>
        </w:rPr>
      </w:pP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2ED" w:rsidRPr="009626CF" w:rsidRDefault="007752ED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9025E">
        <w:rPr>
          <w:rFonts w:ascii="Times New Roman" w:hAnsi="Times New Roman" w:cs="Times New Roman"/>
          <w:sz w:val="24"/>
          <w:szCs w:val="24"/>
        </w:rPr>
        <w:t>1</w:t>
      </w: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:rsidR="007752ED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Краснокутского сельского поселения </w:t>
      </w: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20.01.2023г</w:t>
      </w: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025E" w:rsidRDefault="00B9025E" w:rsidP="00B902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B9025E" w:rsidRDefault="00B9025E" w:rsidP="00B902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Краснокутского сельского поселения </w:t>
      </w:r>
    </w:p>
    <w:p w:rsidR="00B9025E" w:rsidRDefault="00B9025E" w:rsidP="00B902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20.01.2023г</w:t>
      </w:r>
    </w:p>
    <w:p w:rsidR="00B9025E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025E" w:rsidRPr="009626CF" w:rsidRDefault="00B9025E" w:rsidP="00962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2ED" w:rsidRPr="009626CF" w:rsidRDefault="007752ED" w:rsidP="00962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26CF">
        <w:rPr>
          <w:rFonts w:ascii="Times New Roman" w:hAnsi="Times New Roman" w:cs="Times New Roman"/>
          <w:b/>
          <w:sz w:val="28"/>
          <w:szCs w:val="28"/>
        </w:rPr>
        <w:t xml:space="preserve"> Положение о постоянно действующей комиссии по поступлению и выбытию активов </w:t>
      </w:r>
      <w:r w:rsidR="00B9025E">
        <w:rPr>
          <w:rFonts w:ascii="Times New Roman" w:hAnsi="Times New Roman" w:cs="Times New Roman"/>
          <w:b/>
          <w:sz w:val="28"/>
          <w:szCs w:val="28"/>
        </w:rPr>
        <w:t xml:space="preserve">Краснокутского сельского поселения </w:t>
      </w:r>
    </w:p>
    <w:p w:rsidR="009626CF" w:rsidRPr="009626CF" w:rsidRDefault="009626CF" w:rsidP="00962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52ED" w:rsidRDefault="007752ED" w:rsidP="009626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26CF" w:rsidRP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Федеральным законом от 06.12.2011 N 402-ФЗ "О бухгалтерском учете" (с изменениями и дополнениями);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утвержденными приказом Министерства финансов Российской Федерации от 1 декабря 2010г.N157н (далее – Инструкция N 157н),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Планом счетов бюджетного учета и Инструкции по его применению, утвержденного приказом Минфина России от 6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декабря 2010 г. N 162н (далее – Инструкция N162н);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Планом счетов бухгалтерского учета бюджетных учреждений и Инструкции по его применению, утвержденного приказом Минфина России от 16.12.2010 N 174н (далее - Инструкция N 174н);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Планом счетов бухгалтерского учета автономных учреждений и Инструкции по его применению, утвержденного приказом Минфина России от 23.12.2010 N 183н (далее - Инструкция N 183н);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Приказом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Федеральными стандартами бухгалтерского учёта для организаций государственного сектора;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09.12.2016 N 231н "Об утверждении Инструкции о порядке учета и </w:t>
      </w:r>
      <w:r w:rsidRPr="009626CF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драгоценных металлов, драгоценных камней, продукции из них и ведения отчетности при их производстве, использовании и обращении";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Пунктом 4 статьи 47.2 Бюджетного кодекса Российской Федерации;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регламентирующими порядок приемки и выбытия активов.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1.2. Персональный состав Комиссии утверждается приказом руководителя учреждения. 1.3. Постоянно действующую комиссию по поступлению и выбытию активов (далее - Комиссия)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1.4. Комиссия проводит заседания по мере необходимости.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1.5. Срок рассмотрения Комиссией представленных ей документов не должен превышать 14 календарных дней.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1.6. Заседание Комиссии правомочно при наличии кворума, который составляет не менее половины членов состава Комиссии. Решения Комиссии принимаются большинством голосов членов Комиссии, присутствующих на заседании.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1.7. При отсутствии работников учреждения, обладающих специальными знаниями, для участия в заседаниях комиссии могут приглашаться эксперты.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1.8. Решение комиссии оформляется протоколом (Приложения 1, 2, 3). Протокол подписывают председатель и члены комиссии, присутствовавшие на заседании.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 Полномочия Комиссии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2.1. Определение категории поступающего имущества (основные средства, нематериальные активы, непроизведенные активы, материальные запасы).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2.2.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 (в том числе в результате принятия решения об их списании).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2.3. Определение срока полезного использования поступающих основных средств и нематериальных активов в целях принятия к учету и начисления амортизации (в случае отсутствия соответствующей информации в законодательстве Российской Федерации и в документах производителя).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lastRenderedPageBreak/>
        <w:t>2.4. Определение первоначальной (фактической) стоимости поступающих нефинансовых активов.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2.5. Проверка соответствия ранее начисленной амортизации и оставшегося срока использования нефинансового актива по безвозмездно полученным объектам.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2.6. Определение срока полезного использования основных сре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>учаях изменения первоначально принятых нормативных показателей функционирования объекта, в том числе в результате проведенной достройки, дооборудования, реконструкции, модернизации.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2.7. Определение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нанесением материально-ответственными лицами инвентарных номеров на соответствующих объектах основных средств.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2.9.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Реклассификация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основных средств в иную группу основных средств или в иную категорию объектов бюджетного учета.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2.10. Определение справедливой стоимости арендных платежей по договорам безвозмездного пользования и по договорам аренды со стоимость аренды по договору значительно ниже справедливой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2.11. Определение типа операции по поступлению активов с учетом критерия существенности (обменные / необменные).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2.12. Определение необходимости объединения основных средств, срок полезного использования которых одинаков, стоимость которых не является существенной, в один инвентарный объект, признаваемый для целей бухгалтерского учета комплексом объектов основных средств.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2.13. Признание безнадежной к взысканию задолженности.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3. Принятие решений Комиссией при поступлении нефинансовых активов и в ходе их эксплуатации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3.1. Решение Комиссии об отнесении объектов имущества учреждения, которое имеет признаки актива в соответствии с пунктом 8 Стандарта № 257н, приносящее экономическую выгоду или полезный потенциал к основным средствам, нематериальным активам, непроизведенным активам или материальным запасам принимается в соответствии с Инструкцией N 157н, Общероссийским классификатором основных фондов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013-2014, утвержденным приказом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России 12.12.2014 N 2018-ст (с изменениями и дополнениями) на основании: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поступивших в Комиссию на рассмотрение документов, подтверждающих наличие оснований для принятия таких </w:t>
      </w:r>
      <w:r w:rsidRPr="009626CF">
        <w:rPr>
          <w:rFonts w:ascii="Times New Roman" w:hAnsi="Times New Roman" w:cs="Times New Roman"/>
          <w:sz w:val="24"/>
          <w:szCs w:val="24"/>
        </w:rPr>
        <w:lastRenderedPageBreak/>
        <w:t xml:space="preserve">решений;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рекомендаций, содержащихся в документах производителя, входящих в комплектацию объекта имущества, при отсутствии информации в нормативных правовых актах Российской Федерации;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ожидаемой производительности или мощности, ожидаемого физического износа, зависящих от режима эксплуатации, естественных условий, системы проведения ремонта, гарантийного и договорного срока эксплуатации и других ограничений по использованию при отсутствии информации в документах производителя и в нормативных правовых актах Российской Федерации;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информации о сроках действия патентов, свидетельств и других ограничений по срокам использования объектов интеллектуальной собственности согласно законодательству Российской Федерации, об ожидаемом сроке их использования при определении срока полезного использования нематериальных активов.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3.2. Решение о сроках полезного использования поступивших основных средств, нематериальных активов в целях их принятия к учету и начисления амортизации принимается Комиссией в соответствии с п. 44 Инструкции № 157н., п. 35 стандарта "Основные средства", Общероссийским классификатором основных фондов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013-2014, утвержденным приказом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России 12.12.2014 N 2018-ст (с изменениями и дополнениями). </w:t>
      </w: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7752ED" w:rsidRPr="00962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52ED" w:rsidRPr="009626CF">
        <w:rPr>
          <w:rFonts w:ascii="Times New Roman" w:hAnsi="Times New Roman" w:cs="Times New Roman"/>
          <w:sz w:val="24"/>
          <w:szCs w:val="24"/>
        </w:rPr>
        <w:t xml:space="preserve">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 </w:t>
      </w:r>
      <w:r w:rsidR="007752ED"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="007752ED" w:rsidRPr="009626CF">
        <w:rPr>
          <w:rFonts w:ascii="Times New Roman" w:hAnsi="Times New Roman" w:cs="Times New Roman"/>
          <w:sz w:val="24"/>
          <w:szCs w:val="24"/>
        </w:rPr>
        <w:t xml:space="preserve"> ожидаемого срока использования этого объекта в соответствии с ожидаемой производительностью или мощностью; </w:t>
      </w:r>
      <w:r w:rsidR="007752ED"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="007752ED" w:rsidRPr="009626CF">
        <w:rPr>
          <w:rFonts w:ascii="Times New Roman" w:hAnsi="Times New Roman" w:cs="Times New Roman"/>
          <w:sz w:val="24"/>
          <w:szCs w:val="24"/>
        </w:rPr>
        <w:t xml:space="preserve"> ожидаемого физического износа, зависящего от режима эксплуатации, естественных условий и влияния агрессивной среды, системы проведения ремонта; </w:t>
      </w:r>
      <w:r w:rsidR="007752ED"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="007752ED" w:rsidRPr="009626CF">
        <w:rPr>
          <w:rFonts w:ascii="Times New Roman" w:hAnsi="Times New Roman" w:cs="Times New Roman"/>
          <w:sz w:val="24"/>
          <w:szCs w:val="24"/>
        </w:rPr>
        <w:t xml:space="preserve"> нормативно-правовых и других ограничений использования этого объекта; </w:t>
      </w:r>
      <w:r w:rsidR="007752ED"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="007752ED" w:rsidRPr="009626CF">
        <w:rPr>
          <w:rFonts w:ascii="Times New Roman" w:hAnsi="Times New Roman" w:cs="Times New Roman"/>
          <w:sz w:val="24"/>
          <w:szCs w:val="24"/>
        </w:rPr>
        <w:t xml:space="preserve"> гарантийного срока использования объекта; </w:t>
      </w:r>
      <w:r w:rsidR="007752ED"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="007752ED" w:rsidRPr="009626CF">
        <w:rPr>
          <w:rFonts w:ascii="Times New Roman" w:hAnsi="Times New Roman" w:cs="Times New Roman"/>
          <w:sz w:val="24"/>
          <w:szCs w:val="24"/>
        </w:rPr>
        <w:t xml:space="preserve">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3.4. Решение Комиссии об определении первоначальной (договорной, балансовой, остаточной) стоимости принимаемых к бухгалтерскому (бюджетному) учету основных средств, нематериальных активов, материальных запасов с установленным сроком эксплуатации принимается на основании следующих документов: сопроводительная и техническая документация (контракты, договоры, товарные накладные и т.п.), представляемая материально ответственными лицами; документальное подтверждение данных о рыночных ценах, полученное от независимых экспертов (оценщиков), либо данные, сформированные самостоятельно путем изучения рыночных цен в открытом </w:t>
      </w:r>
      <w:r w:rsidRPr="009626CF">
        <w:rPr>
          <w:rFonts w:ascii="Times New Roman" w:hAnsi="Times New Roman" w:cs="Times New Roman"/>
          <w:sz w:val="24"/>
          <w:szCs w:val="24"/>
        </w:rPr>
        <w:lastRenderedPageBreak/>
        <w:t xml:space="preserve">доступе. Определение текущей оценочной стоимости в целях принятия к бюджетному учету основных средств, нематериальных активов, материальных запасов с установленным сроком эксплуатации осуществляется Комиссией как самостоятельно, так и с привлечением третьих лиц (экспертов) на основании заключенного договора (контракта).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3.5. По решению Комиссии затраты могут быть признаны непосредственно связанными с приобретением, сооружением или изготовлением (созданием)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Инструкцией N 157н.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Инструкции N 157н., пунктом 24 Стандарта № 257н.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3.7.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При поступлении объектов нефинансовых активов по договорам дарения (пожертвования) от юридических и физических лиц, оприходовании излишков, выявленных при инвентаризации и проверках, поступлении объектов имущества от частичной ликвидации (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>) объектов нефинансовых активов, поступлении материальных запасов в результате разборки, утилизации (ликвидации) основных средств или иного имущества справедливая стоимость нефинансовых активов определяется Комиссией согласно положениям Инструкции N 157н., пункту 52 Стандарта № 256н Методом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рыночных цен –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(обязательствами), совершенных без отсрочки платежа.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3.8. При частичной ликвидации (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) объекта нефинансовых активов Комиссия принимает решение о расчете стоимости ликвидируемой части объекта. Ликвидируемая часть объекта рассчитывается в процентном отношении к стоимости всего объекта, процентное отношение определяется Комиссией.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3.9. При начислении задолженности по недостаче нефинансовых активов справедливая стоимость нефинансовых активов определяется Комиссией на день обнаружения ущерба согласно положениям Инструкции N 157н., пункту 52 Стандарта № 256н.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lastRenderedPageBreak/>
        <w:t>3.10. 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объектов. Решение об увеличении срока полезного использования основных сре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3.11. 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в соответствии с положениями Инструкции N 157н.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3.12.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Решение Комиссии о целесообразности (пригодности) дальнейшего использования основных средств и нематериальных активов, срок эксплуатации которых истек, необходимости (возможности) их эффективного восстановления принимается на основании: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заключения эксперта о состоянии основных средств и нематериальных активов, либо оценки (предложений) соответствующих специалистов учреждения по их дальнейшему использованию;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результатов инвентаризации активов (при выявлении признаков утраты полезного потенциала использования, заключенного в нефинансовом активе). 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3.13. Уполномоченный член Комиссии контролирует нанесение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материальноответственным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лицом присвоенных объектам основных средств инвентарных номеров (пункт 46 Инструкции № 157н), а также маркировку объектов материальных запасов с учетом требований Инструкции N 157н.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При поступлении нефинансовых активов, а также в ходе их эксплуатации (использования) Комиссией оформляются первичные документы в соответствии с приказом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>4. Принятие решений по выбытию активов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4.1. Решение Комиссии о выбытии (списании) активов принимается после выполнения следующих мероприятий: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непосредственного осмотра имущества (при наличии), определения его технического состояния и возможности дальнейшего использования по назначению с использованием необходимой технической документации (технический </w:t>
      </w:r>
      <w:r w:rsidRPr="009626CF">
        <w:rPr>
          <w:rFonts w:ascii="Times New Roman" w:hAnsi="Times New Roman" w:cs="Times New Roman"/>
          <w:sz w:val="24"/>
          <w:szCs w:val="24"/>
        </w:rPr>
        <w:lastRenderedPageBreak/>
        <w:t xml:space="preserve">паспорт, проект, чертежи, технические условия, инструкции по эксплуатации и т.п.), данных бухгалтерского (бюджетного) учета;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рассмотрения вопроса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федерального имущества;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установления конкретных причин выбытия (списания):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причины;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подготовки технического заключения экспертом о техническом состоянии основных средств относящихся к вычислительной или оргтехнике, технически сложным объектам основных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средстви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возможности ремонта и дальнейшей эксплуатации объектов нефинансовых активов.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4.2. Комиссия принимает решение о выбытии (списании) активов учреждения согласно положениям Инструкции N 157н в следующих случаях: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износа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>арушение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условий содержания и (или) эксплуатации, длительное неиспользование для управленческих;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имущество выбыло из владения, пользования, распоряжения вследствие гибели или уничтожения, в том числе помимо воли (хищения, недостачи и порчи, выявленные при инвентаризации), а также невозможности выяснения его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местонахождениянужд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и иные причины, которые привели к необходимости списания имущества;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в других случаях прекращения права оперативного управления, предусмотренных законодательством РФ.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4.3. По итогам Заседания Комиссии составляется Протокол (Приложение 2), содержащий Решение комиссии. Протокол передается на рассмотрение руководителю учреждения. На основании Протокола руководитель принимает решение и издает Приказ о дальнейших действиях в отношении принятого Комиссией Решения.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lastRenderedPageBreak/>
        <w:t xml:space="preserve">4.4. Реализация мероприятий, предусмотренных актом о списании, не допускается до утверждения акта о списании в установленном порядке. После утверждения акта о списании имущества, Комиссия контролирует выполнение мероприятий, предусмотренных этим актом: разборку, демонтаж, уничтожение, утилизацию и т.п., что подтверждается составлением Акта о проведении мероприятий по выбытию основного средства (Приложение 3).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4.5. Объекты основных средств, по которым Комиссией установлена неэффективность дальнейшей эксплуатации, ремонта, восстановления, несоответствие условиям актива, подлежат отражению на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счете 02 «Материальные ценности, принятые на хранение» до дальнейшего определения функционального назначения указанного имущества (вовлечения в хозяйственный оборот, утилизации или списания). 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>При выбытии (списании), ремонте и модернизации активов Комиссией оформляются первичные документы в соответствии с приказом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5. Принятие решений о списании задолженности</w:t>
      </w:r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списании с балансового учета учреждения задолженности неплатежеспособных дебиторов, а также списание с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учета задолженности, признанной безнадежной к взысканию после выполнения следующих мероприятий: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рассмотрение материалов по актам сверок с дебиторами с целью принятия решения о списании дебиторской задолженности;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проверки документов, необходимых для списания задолженности неплатежеспособных дебиторов.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Решение Комиссии о списании дебиторской задолженности признается действующим в случае: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признание дебиторской задолженности безнадежной к взысканию в целях списания с балансового учета в связи с истечением исковой давности;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признание дебиторской задолженности, подлежащей списанию с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учета, при завершении срока возможного возобновления процедуры взыскания;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наличия документов, подтверждающих прекращение обязательства смертью (ликвидацией) дебитора, а также в иных случаях, предусмотренных законодательством РФ). 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Порядок списания, а также критерии отнесения задолженности к сомнительной или безнадежной к взысканию рассмотрены в Приложении 18 к Единой учетной политике </w:t>
      </w:r>
      <w:r w:rsidRPr="009626CF">
        <w:rPr>
          <w:rFonts w:ascii="Times New Roman" w:hAnsi="Times New Roman" w:cs="Times New Roman"/>
          <w:sz w:val="24"/>
          <w:szCs w:val="24"/>
        </w:rPr>
        <w:lastRenderedPageBreak/>
        <w:t>«Порядок признания дебиторской задолженности сомнительной, безнадежной к взысканию для целей списания дебиторской задолженности в бухгалтерском учете».</w:t>
      </w:r>
      <w:proofErr w:type="gramEnd"/>
    </w:p>
    <w:p w:rsidR="009626CF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6. Осуществление контроля </w:t>
      </w:r>
    </w:p>
    <w:p w:rsidR="007752ED" w:rsidRDefault="007752ED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6C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626CF">
        <w:rPr>
          <w:rFonts w:ascii="Times New Roman" w:hAnsi="Times New Roman" w:cs="Times New Roman"/>
          <w:sz w:val="24"/>
          <w:szCs w:val="24"/>
        </w:rPr>
        <w:t xml:space="preserve">Комиссия осуществляет контроль: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за нанесением материально-ответственным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средств, пригодных узлов, деталей, конструкций и материалов, драгоценных металлов и камней, цветных металлов;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сдачей вторичного сырья в организации приема вторичного сырья;</w:t>
      </w:r>
      <w:proofErr w:type="gramEnd"/>
      <w:r w:rsidRPr="009626CF">
        <w:rPr>
          <w:rFonts w:ascii="Times New Roman" w:hAnsi="Times New Roman" w:cs="Times New Roman"/>
          <w:sz w:val="24"/>
          <w:szCs w:val="24"/>
        </w:rPr>
        <w:t xml:space="preserve"> </w:t>
      </w:r>
      <w:r w:rsidRPr="009626CF">
        <w:rPr>
          <w:rFonts w:ascii="Times New Roman" w:hAnsi="Times New Roman" w:cs="Times New Roman"/>
          <w:sz w:val="24"/>
          <w:szCs w:val="24"/>
        </w:rPr>
        <w:sym w:font="Symbol" w:char="F0BE"/>
      </w:r>
      <w:r w:rsidRPr="009626CF">
        <w:rPr>
          <w:rFonts w:ascii="Times New Roman" w:hAnsi="Times New Roman" w:cs="Times New Roman"/>
          <w:sz w:val="24"/>
          <w:szCs w:val="24"/>
        </w:rPr>
        <w:t xml:space="preserve"> получением от специализированной организации по утилизации имущества акта </w:t>
      </w:r>
      <w:proofErr w:type="spellStart"/>
      <w:r w:rsidRPr="009626CF">
        <w:rPr>
          <w:rFonts w:ascii="Times New Roman" w:hAnsi="Times New Roman" w:cs="Times New Roman"/>
          <w:sz w:val="24"/>
          <w:szCs w:val="24"/>
        </w:rPr>
        <w:t>приемасдачи</w:t>
      </w:r>
      <w:proofErr w:type="spellEnd"/>
      <w:r w:rsidRPr="009626CF">
        <w:rPr>
          <w:rFonts w:ascii="Times New Roman" w:hAnsi="Times New Roman" w:cs="Times New Roman"/>
          <w:sz w:val="24"/>
          <w:szCs w:val="24"/>
        </w:rPr>
        <w:t xml:space="preserve"> имущества, подлежащего уничтожению, акта об оказанных услугах по уничтожению имущества, акта об уничтожении.</w:t>
      </w: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B9025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Pr="009626CF" w:rsidRDefault="009626CF" w:rsidP="00962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CF" w:rsidRDefault="009626CF" w:rsidP="007752ED">
      <w:pPr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B9025E" w:rsidRDefault="00B9025E" w:rsidP="009626CF">
      <w:pPr>
        <w:jc w:val="right"/>
        <w:rPr>
          <w:rStyle w:val="a5"/>
          <w:color w:val="auto"/>
        </w:rPr>
      </w:pPr>
    </w:p>
    <w:p w:rsidR="00B9025E" w:rsidRDefault="00B9025E" w:rsidP="009626CF">
      <w:pPr>
        <w:jc w:val="right"/>
        <w:rPr>
          <w:rStyle w:val="a5"/>
          <w:color w:val="auto"/>
        </w:rPr>
      </w:pPr>
    </w:p>
    <w:p w:rsidR="00B9025E" w:rsidRDefault="00B9025E" w:rsidP="009626CF">
      <w:pPr>
        <w:jc w:val="right"/>
        <w:rPr>
          <w:rStyle w:val="a5"/>
          <w:color w:val="auto"/>
        </w:rPr>
      </w:pPr>
    </w:p>
    <w:p w:rsidR="00B9025E" w:rsidRDefault="00B9025E" w:rsidP="009626CF">
      <w:pPr>
        <w:jc w:val="right"/>
        <w:rPr>
          <w:rStyle w:val="a5"/>
          <w:color w:val="auto"/>
        </w:rPr>
      </w:pPr>
    </w:p>
    <w:p w:rsidR="00B9025E" w:rsidRDefault="00B9025E" w:rsidP="009626CF">
      <w:pPr>
        <w:jc w:val="right"/>
        <w:rPr>
          <w:rStyle w:val="a5"/>
          <w:color w:val="auto"/>
        </w:rPr>
      </w:pPr>
    </w:p>
    <w:p w:rsidR="009626CF" w:rsidRPr="00EA18DF" w:rsidRDefault="007752ED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Приложение 1 </w:t>
      </w:r>
    </w:p>
    <w:p w:rsidR="00EA18DF" w:rsidRPr="00EA18DF" w:rsidRDefault="007752ED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 Положению о постоянно 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действующей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EA18DF" w:rsidRPr="00EA18DF" w:rsidRDefault="007752ED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комиссии</w:t>
      </w:r>
      <w:r w:rsidR="00EA18DF" w:rsidRPr="00EA18DF">
        <w:rPr>
          <w:rStyle w:val="a5"/>
          <w:rFonts w:ascii="Times New Roman" w:hAnsi="Times New Roman" w:cs="Times New Roman"/>
          <w:color w:val="auto"/>
        </w:rPr>
        <w:t xml:space="preserve"> </w:t>
      </w:r>
      <w:r w:rsidRPr="00EA18DF">
        <w:rPr>
          <w:rStyle w:val="a5"/>
          <w:rFonts w:ascii="Times New Roman" w:hAnsi="Times New Roman" w:cs="Times New Roman"/>
          <w:color w:val="auto"/>
        </w:rPr>
        <w:t xml:space="preserve"> по поступлению и выбытию активов </w:t>
      </w:r>
    </w:p>
    <w:p w:rsidR="007752ED" w:rsidRPr="00EA18DF" w:rsidRDefault="00EA18DF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Краснокутского сельского поселения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7752ED" w:rsidP="009626CF">
      <w:pPr>
        <w:jc w:val="center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ПРОТОКОЛ № 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_ заседания комиссии по поступлению и выбытию активов «____»__________20___г.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На заседании присутствовали: Председатель комиссии: ____________________________________ Члены комиссии: ____________________________________ _____________________________________ Повестка заседания: __________________________________________________________________________________ __________________________________________________________________________________ Слушали: __________________________________________________________________________________ __________________________________________________________________________________ __________________________________________________________________________________ Рассмотрели: 1) ________________________________________________________________________________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2) ________________________________________________________________________________ 3)_________________________________________________________________________________ Постановили: __________________________________________________________________________________ __________________________________________________________________________________ __________________________________________________________________________________ Голосовали: «ЗА» -______________________ «Против»-_______________________________ Подписи членов комиссии: Председатель комиссии: _____________________________________ Члены комиссии: _____________________________________________ ______________________________________________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9626CF" w:rsidRDefault="009626CF" w:rsidP="009626CF">
      <w:pPr>
        <w:jc w:val="right"/>
        <w:rPr>
          <w:rStyle w:val="a5"/>
          <w:color w:val="auto"/>
        </w:rPr>
      </w:pP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Приложение 1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 Положению о постоянно 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действующей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комиссии  по поступлению и выбытию активов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Краснокутского сельского поселения </w:t>
      </w:r>
    </w:p>
    <w:p w:rsidR="009626CF" w:rsidRPr="00EA18DF" w:rsidRDefault="009626CF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7752ED" w:rsidP="009626CF">
      <w:pPr>
        <w:jc w:val="center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Протокол № ___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осмотра объекта при списании нефинансовых активов комиссией по поступлению и выбытию активов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Комиссия в составе: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Председатель комиссии: </w:t>
      </w:r>
    </w:p>
    <w:p w:rsid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Члены комиссии: __________</w:t>
      </w:r>
    </w:p>
    <w:p w:rsid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произвела осмотр ________________________________________________ (дата)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(наименование объекта, инвентарный номер, источник)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На момент осмотра основное средство находится в эксплуатации ____________________ (количество лет и месяцев)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Нормативный срок службы (срок полезного использования) объекта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(количество лет и месяцев) 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При визуальном и техническом осмотре объекта установлено ____________________________________________________________________________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Выводы по осмотру: ________________________________________________________ (работоспособен, но морально устарел; неработоспособен) восстановление не целесообразно (описывается, что требуется для восстановления, целесообразность восстановления и т.д.)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Решение: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1. Объект к восстановлению и дальнейшему использованию непригоден/пригоден, (ненужное зачеркнуть) ввиду ______________________________________________________________________________ </w:t>
      </w:r>
      <w:r w:rsidRPr="00EA18DF">
        <w:rPr>
          <w:rStyle w:val="a5"/>
          <w:rFonts w:ascii="Times New Roman" w:hAnsi="Times New Roman" w:cs="Times New Roman"/>
          <w:color w:val="auto"/>
        </w:rPr>
        <w:lastRenderedPageBreak/>
        <w:t>(морального износа, невозможности восстановления, экономической нецелесообразности, наличия эффекта от восстановления и т.д.) и подлежит списанию/восстановлению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.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(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н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>енужное зачеркнуть)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2. Преждевременная утрата пригодности объекта нет_______ (нет, есть)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3. Лица, виновные в утрате пригодности объекта основного средства ___нет______ (нет, есть) _______________________________________-______________________________________ (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ставится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прочерк либо указываются должность и Ф.И.О.)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4. Возможность использования отдельных узлов, деталей, материалов в результате разборки и демонтажа объекта основного средства не имеется__________________________, в том числе: (имеется, не имеется) (перечисляются материалы, узлы, детали)__________________________________________________________________________ 5.Мероприятия по выбыти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ю–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объекты подлежат _____________________________________ (разборке, демонтажу, уничтожению, утилизации, утилизации через специализированную организацию как опасный отход и т.д.)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Основное средство до момента утилизации складируется, отразить в бухгалтерском учете на </w:t>
      </w:r>
      <w:proofErr w:type="spellStart"/>
      <w:r w:rsidRPr="00EA18DF">
        <w:rPr>
          <w:rStyle w:val="a5"/>
          <w:rFonts w:ascii="Times New Roman" w:hAnsi="Times New Roman" w:cs="Times New Roman"/>
          <w:color w:val="auto"/>
        </w:rPr>
        <w:t>забалансовом</w:t>
      </w:r>
      <w:proofErr w:type="spellEnd"/>
      <w:r w:rsidRPr="00EA18DF">
        <w:rPr>
          <w:rStyle w:val="a5"/>
          <w:rFonts w:ascii="Times New Roman" w:hAnsi="Times New Roman" w:cs="Times New Roman"/>
          <w:color w:val="auto"/>
        </w:rPr>
        <w:t xml:space="preserve"> счете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.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(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р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>азборке, демонтажу, уничтожению, утилизации, утилизации через специализированную организацию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Председатель комиссии: _____________________________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Члены комиссии ____________________________ ___________________________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Приложение 1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 Положению о постоянно 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действующей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комиссии  по поступлению и выбытию активов </w:t>
      </w:r>
    </w:p>
    <w:p w:rsidR="00EA18DF" w:rsidRPr="00EA18DF" w:rsidRDefault="00EA18DF" w:rsidP="00EA18DF">
      <w:pPr>
        <w:jc w:val="right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Краснокутского сельского поселения </w:t>
      </w:r>
    </w:p>
    <w:p w:rsidR="007752ED" w:rsidRPr="00EA18DF" w:rsidRDefault="007752ED" w:rsidP="009626CF">
      <w:pPr>
        <w:jc w:val="right"/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9626C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9626C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7752ED" w:rsidP="009626CF">
      <w:pPr>
        <w:jc w:val="center"/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Акт № 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проведения мероприятий по выбытию основного средства от «____»________ 20___г. </w:t>
      </w:r>
    </w:p>
    <w:p w:rsidR="009626C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В соответствии с решением комиссии по поступлению и выбытию активов, отраженного в акте на списание основного средства № _____ от «_____»________ 20__г</w:t>
      </w:r>
    </w:p>
    <w:p w:rsidR="00EA18DF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Объект основных средств ____________________________________________________________________________ (наименование, инв. №</w:t>
      </w:r>
      <w:proofErr w:type="gramStart"/>
      <w:r w:rsidR="009626CF" w:rsidRPr="00EA18DF">
        <w:rPr>
          <w:rStyle w:val="a5"/>
          <w:rFonts w:ascii="Times New Roman" w:hAnsi="Times New Roman" w:cs="Times New Roman"/>
          <w:color w:val="auto"/>
        </w:rPr>
        <w:t xml:space="preserve">             </w:t>
      </w:r>
      <w:r w:rsidRPr="00EA18DF">
        <w:rPr>
          <w:rStyle w:val="a5"/>
          <w:rFonts w:ascii="Times New Roman" w:hAnsi="Times New Roman" w:cs="Times New Roman"/>
          <w:color w:val="auto"/>
        </w:rPr>
        <w:t>)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 xml:space="preserve"> __________________________________________________________________________________ как опасный отход (указать также реквизиты договора со специализированной организацией и накладной на передачу отходов)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 При разборке (демонтаже) получены следующие узлы, детали, материалы: _______________________________________-_____________________________________ (название, количество, </w:t>
      </w:r>
      <w:proofErr w:type="spellStart"/>
      <w:r w:rsidRPr="00EA18DF">
        <w:rPr>
          <w:rStyle w:val="a5"/>
          <w:rFonts w:ascii="Times New Roman" w:hAnsi="Times New Roman" w:cs="Times New Roman"/>
          <w:color w:val="auto"/>
        </w:rPr>
        <w:t>ед</w:t>
      </w:r>
      <w:proofErr w:type="gramStart"/>
      <w:r w:rsidRPr="00EA18DF">
        <w:rPr>
          <w:rStyle w:val="a5"/>
          <w:rFonts w:ascii="Times New Roman" w:hAnsi="Times New Roman" w:cs="Times New Roman"/>
          <w:color w:val="auto"/>
        </w:rPr>
        <w:t>.и</w:t>
      </w:r>
      <w:proofErr w:type="gramEnd"/>
      <w:r w:rsidRPr="00EA18DF">
        <w:rPr>
          <w:rStyle w:val="a5"/>
          <w:rFonts w:ascii="Times New Roman" w:hAnsi="Times New Roman" w:cs="Times New Roman"/>
          <w:color w:val="auto"/>
        </w:rPr>
        <w:t>змерения</w:t>
      </w:r>
      <w:proofErr w:type="spellEnd"/>
      <w:r w:rsidRPr="00EA18DF">
        <w:rPr>
          <w:rStyle w:val="a5"/>
          <w:rFonts w:ascii="Times New Roman" w:hAnsi="Times New Roman" w:cs="Times New Roman"/>
          <w:color w:val="auto"/>
        </w:rPr>
        <w:t xml:space="preserve">)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 xml:space="preserve">Председатель комиссии: _____________________________ 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  <w:r w:rsidRPr="00EA18DF">
        <w:rPr>
          <w:rStyle w:val="a5"/>
          <w:rFonts w:ascii="Times New Roman" w:hAnsi="Times New Roman" w:cs="Times New Roman"/>
          <w:color w:val="auto"/>
        </w:rPr>
        <w:t>Члены комиссии ____________________________ ____________________________ _____________________</w:t>
      </w:r>
    </w:p>
    <w:p w:rsidR="007752ED" w:rsidRPr="00EA18DF" w:rsidRDefault="007752ED" w:rsidP="007752ED">
      <w:pPr>
        <w:rPr>
          <w:rStyle w:val="a5"/>
          <w:rFonts w:ascii="Times New Roman" w:hAnsi="Times New Roman" w:cs="Times New Roman"/>
          <w:color w:val="auto"/>
        </w:rPr>
      </w:pPr>
    </w:p>
    <w:p w:rsidR="009626CF" w:rsidRPr="00EA18DF" w:rsidRDefault="009626CF" w:rsidP="007752ED">
      <w:pPr>
        <w:rPr>
          <w:rStyle w:val="a5"/>
          <w:rFonts w:ascii="Times New Roman" w:hAnsi="Times New Roman" w:cs="Times New Roman"/>
          <w:color w:val="auto"/>
        </w:rPr>
      </w:pPr>
    </w:p>
    <w:p w:rsidR="001F23E4" w:rsidRPr="00EA18DF" w:rsidRDefault="001F23E4" w:rsidP="007752ED">
      <w:pPr>
        <w:rPr>
          <w:rStyle w:val="a5"/>
          <w:rFonts w:ascii="Times New Roman" w:hAnsi="Times New Roman" w:cs="Times New Roman"/>
          <w:color w:val="auto"/>
        </w:rPr>
      </w:pPr>
    </w:p>
    <w:sectPr w:rsidR="001F23E4" w:rsidRPr="00E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2A"/>
    <w:rsid w:val="001F23E4"/>
    <w:rsid w:val="003C2B57"/>
    <w:rsid w:val="007752ED"/>
    <w:rsid w:val="009626CF"/>
    <w:rsid w:val="00B3712A"/>
    <w:rsid w:val="00B9025E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E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752ED"/>
    <w:rPr>
      <w:i/>
      <w:iCs/>
      <w:color w:val="808080" w:themeColor="text1" w:themeTint="7F"/>
    </w:rPr>
  </w:style>
  <w:style w:type="character" w:styleId="a5">
    <w:name w:val="Subtle Reference"/>
    <w:basedOn w:val="a0"/>
    <w:uiPriority w:val="31"/>
    <w:qFormat/>
    <w:rsid w:val="007752ED"/>
    <w:rPr>
      <w:smallCaps/>
      <w:color w:val="C0504D" w:themeColor="accent2"/>
      <w:u w:val="single"/>
    </w:rPr>
  </w:style>
  <w:style w:type="paragraph" w:styleId="a6">
    <w:name w:val="Title"/>
    <w:basedOn w:val="a"/>
    <w:link w:val="a7"/>
    <w:uiPriority w:val="99"/>
    <w:qFormat/>
    <w:rsid w:val="00B9025E"/>
    <w:pPr>
      <w:shd w:val="clear" w:color="auto" w:fill="FFFFFF"/>
      <w:spacing w:after="0" w:line="228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3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9025E"/>
    <w:rPr>
      <w:rFonts w:ascii="Times New Roman" w:eastAsia="Times New Roman" w:hAnsi="Times New Roman" w:cs="Times New Roman"/>
      <w:b/>
      <w:color w:val="000000"/>
      <w:sz w:val="26"/>
      <w:szCs w:val="3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90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E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752ED"/>
    <w:rPr>
      <w:i/>
      <w:iCs/>
      <w:color w:val="808080" w:themeColor="text1" w:themeTint="7F"/>
    </w:rPr>
  </w:style>
  <w:style w:type="character" w:styleId="a5">
    <w:name w:val="Subtle Reference"/>
    <w:basedOn w:val="a0"/>
    <w:uiPriority w:val="31"/>
    <w:qFormat/>
    <w:rsid w:val="007752ED"/>
    <w:rPr>
      <w:smallCaps/>
      <w:color w:val="C0504D" w:themeColor="accent2"/>
      <w:u w:val="single"/>
    </w:rPr>
  </w:style>
  <w:style w:type="paragraph" w:styleId="a6">
    <w:name w:val="Title"/>
    <w:basedOn w:val="a"/>
    <w:link w:val="a7"/>
    <w:uiPriority w:val="99"/>
    <w:qFormat/>
    <w:rsid w:val="00B9025E"/>
    <w:pPr>
      <w:shd w:val="clear" w:color="auto" w:fill="FFFFFF"/>
      <w:spacing w:after="0" w:line="228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3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9025E"/>
    <w:rPr>
      <w:rFonts w:ascii="Times New Roman" w:eastAsia="Times New Roman" w:hAnsi="Times New Roman" w:cs="Times New Roman"/>
      <w:b/>
      <w:color w:val="000000"/>
      <w:sz w:val="26"/>
      <w:szCs w:val="3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902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2023-05-03T05:02:00Z</dcterms:created>
  <dcterms:modified xsi:type="dcterms:W3CDTF">2023-05-03T05:02:00Z</dcterms:modified>
</cp:coreProperties>
</file>