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887E0A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840A03" w:rsidRDefault="00840A03" w:rsidP="007421B0">
      <w:pPr>
        <w:suppressAutoHyphens/>
        <w:rPr>
          <w:rFonts w:eastAsia="Calibri"/>
          <w:bCs/>
          <w:sz w:val="26"/>
          <w:szCs w:val="26"/>
          <w:lang w:eastAsia="en-US"/>
        </w:rPr>
      </w:pPr>
    </w:p>
    <w:p w:rsidR="00221A03" w:rsidRDefault="00F95A76" w:rsidP="00221A03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Решение</w:t>
      </w:r>
    </w:p>
    <w:p w:rsidR="002D4A6B" w:rsidRPr="007537F1" w:rsidRDefault="00221A03" w:rsidP="007421B0">
      <w:pPr>
        <w:suppressAutoHyphens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                                                                        </w:t>
      </w:r>
      <w:r w:rsidR="007421B0" w:rsidRPr="007537F1">
        <w:rPr>
          <w:rFonts w:eastAsia="Calibri"/>
          <w:bCs/>
          <w:szCs w:val="26"/>
          <w:lang w:eastAsia="en-US"/>
        </w:rPr>
        <w:t xml:space="preserve">                                                  </w:t>
      </w:r>
    </w:p>
    <w:p w:rsidR="00240B4D" w:rsidRPr="007537F1" w:rsidRDefault="00240B4D" w:rsidP="002D4A6B">
      <w:pPr>
        <w:suppressAutoHyphens/>
        <w:jc w:val="center"/>
        <w:rPr>
          <w:rFonts w:eastAsia="Calibri"/>
          <w:bCs/>
          <w:szCs w:val="26"/>
          <w:lang w:eastAsia="en-US"/>
        </w:rPr>
      </w:pPr>
    </w:p>
    <w:p w:rsidR="00240B4D" w:rsidRPr="007537F1" w:rsidRDefault="00F95A76" w:rsidP="00F95A76">
      <w:pPr>
        <w:tabs>
          <w:tab w:val="left" w:pos="992"/>
          <w:tab w:val="center" w:pos="4890"/>
          <w:tab w:val="left" w:pos="8586"/>
        </w:tabs>
        <w:suppressAutoHyphens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 xml:space="preserve">       от 15.02.2021 года</w:t>
      </w:r>
      <w:r>
        <w:rPr>
          <w:rFonts w:eastAsia="Calibri"/>
          <w:bCs/>
          <w:szCs w:val="26"/>
          <w:lang w:eastAsia="en-US"/>
        </w:rPr>
        <w:tab/>
      </w:r>
      <w:r w:rsidR="007537F1">
        <w:rPr>
          <w:rFonts w:eastAsia="Calibri"/>
          <w:bCs/>
          <w:szCs w:val="26"/>
          <w:lang w:eastAsia="en-US"/>
        </w:rPr>
        <w:t xml:space="preserve"> </w:t>
      </w:r>
      <w:r>
        <w:rPr>
          <w:rFonts w:eastAsia="Calibri"/>
          <w:bCs/>
          <w:szCs w:val="26"/>
          <w:lang w:eastAsia="en-US"/>
        </w:rPr>
        <w:t xml:space="preserve">    </w:t>
      </w:r>
      <w:r w:rsidR="00240B4D" w:rsidRPr="007537F1">
        <w:rPr>
          <w:rFonts w:eastAsia="Calibri"/>
          <w:bCs/>
          <w:szCs w:val="26"/>
          <w:lang w:eastAsia="en-US"/>
        </w:rPr>
        <w:t>с. Красный Кут</w:t>
      </w:r>
      <w:r>
        <w:rPr>
          <w:rFonts w:eastAsia="Calibri"/>
          <w:bCs/>
          <w:szCs w:val="26"/>
          <w:lang w:eastAsia="en-US"/>
        </w:rPr>
        <w:tab/>
        <w:t xml:space="preserve">  </w:t>
      </w:r>
      <w:bookmarkStart w:id="0" w:name="_GoBack"/>
      <w:bookmarkEnd w:id="0"/>
      <w:r>
        <w:rPr>
          <w:rFonts w:eastAsia="Calibri"/>
          <w:bCs/>
          <w:szCs w:val="26"/>
          <w:lang w:eastAsia="en-US"/>
        </w:rPr>
        <w:t>№ 33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9100"/>
      </w:tblGrid>
      <w:tr w:rsidR="002D4A6B" w:rsidRPr="00F62E72" w:rsidTr="00A24A42">
        <w:trPr>
          <w:trHeight w:val="313"/>
          <w:jc w:val="center"/>
        </w:trPr>
        <w:tc>
          <w:tcPr>
            <w:tcW w:w="9100" w:type="dxa"/>
          </w:tcPr>
          <w:p w:rsidR="002D4A6B" w:rsidRDefault="00840A03" w:rsidP="00240B4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«О налоге на имущество 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физический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 xml:space="preserve"> лиц»</w:t>
            </w:r>
          </w:p>
          <w:p w:rsidR="007421B0" w:rsidRDefault="007421B0" w:rsidP="007421B0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7421B0" w:rsidRDefault="007421B0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 соответствии с главой 32</w:t>
            </w:r>
            <w:r w:rsidR="00B57226">
              <w:rPr>
                <w:bCs/>
                <w:color w:val="000000"/>
                <w:shd w:val="clear" w:color="auto" w:fill="FFFFFF"/>
              </w:rPr>
              <w:t xml:space="preserve"> «Налог на имущество физических лиц» Налогового кодекса Российской Федерации, руководствуясь Уставом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      </w:r>
          </w:p>
          <w:p w:rsidR="00B57226" w:rsidRDefault="00B57226" w:rsidP="007421B0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B57226" w:rsidRDefault="00B57226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537F1">
              <w:rPr>
                <w:bCs/>
                <w:color w:val="000000"/>
                <w:shd w:val="clear" w:color="auto" w:fill="FFFFFF"/>
              </w:rPr>
              <w:t xml:space="preserve">1. Утвердить </w:t>
            </w:r>
            <w:r w:rsidR="007537F1" w:rsidRPr="007537F1">
              <w:rPr>
                <w:bCs/>
                <w:color w:val="000000"/>
                <w:shd w:val="clear" w:color="auto" w:fill="FFFFFF"/>
              </w:rPr>
              <w:t>Положение</w:t>
            </w:r>
            <w:r w:rsidRPr="007537F1">
              <w:rPr>
                <w:bCs/>
                <w:color w:val="000000"/>
                <w:shd w:val="clear" w:color="auto" w:fill="FFFFFF"/>
              </w:rPr>
              <w:t xml:space="preserve"> « О налоге на имущества физических лиц» исходя из кадастровой стоимости объектов налогообложения. Данное решение вступает в законную силу с 01.01.2020 года.</w:t>
            </w:r>
          </w:p>
          <w:p w:rsidR="00221A03" w:rsidRPr="007537F1" w:rsidRDefault="00221A03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2. </w:t>
            </w:r>
            <w:r w:rsidRPr="007F7620">
              <w:rPr>
                <w:bCs/>
                <w:color w:val="000000"/>
                <w:shd w:val="clear" w:color="auto" w:fill="FFFFFF"/>
              </w:rPr>
              <w:t xml:space="preserve">Отменить решение муниципального комитета Краснокутского сельского поселения от 02.09.2019 года № 61 </w:t>
            </w: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7F7620">
              <w:rPr>
                <w:bCs/>
                <w:color w:val="000000"/>
                <w:shd w:val="clear" w:color="auto" w:fill="FFFFFF"/>
              </w:rPr>
              <w:t xml:space="preserve">О налоге на имущество </w:t>
            </w:r>
            <w:proofErr w:type="gramStart"/>
            <w:r w:rsidRPr="007F7620">
              <w:rPr>
                <w:bCs/>
                <w:color w:val="000000"/>
                <w:shd w:val="clear" w:color="auto" w:fill="FFFFFF"/>
              </w:rPr>
              <w:t>физический</w:t>
            </w:r>
            <w:proofErr w:type="gramEnd"/>
            <w:r w:rsidRPr="007F7620">
              <w:rPr>
                <w:bCs/>
                <w:color w:val="000000"/>
                <w:shd w:val="clear" w:color="auto" w:fill="FFFFFF"/>
              </w:rPr>
              <w:t xml:space="preserve"> лиц»</w:t>
            </w:r>
            <w:r>
              <w:rPr>
                <w:bCs/>
                <w:color w:val="000000"/>
                <w:shd w:val="clear" w:color="auto" w:fill="FFFFFF"/>
              </w:rPr>
              <w:t>,</w:t>
            </w:r>
            <w:r>
              <w:t xml:space="preserve"> </w:t>
            </w:r>
            <w:r w:rsidRPr="00020F30">
              <w:rPr>
                <w:bCs/>
                <w:color w:val="000000"/>
                <w:shd w:val="clear" w:color="auto" w:fill="FFFFFF"/>
              </w:rPr>
              <w:t xml:space="preserve">решение муниципального комитета </w:t>
            </w:r>
            <w:r>
              <w:rPr>
                <w:bCs/>
                <w:color w:val="000000"/>
                <w:shd w:val="clear" w:color="auto" w:fill="FFFFFF"/>
              </w:rPr>
              <w:t>от 26.11.2019 года №81, решение муниципального комитета от 17.02.2020 года №10</w:t>
            </w:r>
          </w:p>
          <w:p w:rsidR="00B57226" w:rsidRPr="007537F1" w:rsidRDefault="00221A03" w:rsidP="007421B0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3</w:t>
            </w:r>
            <w:r w:rsidR="00B57226" w:rsidRPr="007537F1">
              <w:rPr>
                <w:bCs/>
                <w:color w:val="000000"/>
                <w:shd w:val="clear" w:color="auto" w:fill="FFFFFF"/>
              </w:rPr>
              <w:t>. Решение от 10.11.2014 года №238 « Об утверждении Положения о налоге на имущество физических лиц на территории Краснокутского сельского поселения Спасского муниципального района Приморского края</w:t>
            </w:r>
            <w:proofErr w:type="gramStart"/>
            <w:r w:rsidR="00B57226" w:rsidRPr="007537F1">
              <w:rPr>
                <w:bCs/>
                <w:color w:val="000000"/>
                <w:shd w:val="clear" w:color="auto" w:fill="FFFFFF"/>
              </w:rPr>
              <w:t>»</w:t>
            </w:r>
            <w:r w:rsidR="007537F1" w:rsidRPr="007537F1">
              <w:rPr>
                <w:bCs/>
                <w:color w:val="000000"/>
                <w:shd w:val="clear" w:color="auto" w:fill="FFFFFF"/>
              </w:rPr>
              <w:t>-</w:t>
            </w:r>
            <w:proofErr w:type="gramEnd"/>
            <w:r w:rsidR="007537F1" w:rsidRPr="007537F1">
              <w:rPr>
                <w:bCs/>
                <w:color w:val="000000"/>
                <w:shd w:val="clear" w:color="auto" w:fill="FFFFFF"/>
              </w:rPr>
              <w:t>признать утратившим силу с 01.01.2020 года.</w:t>
            </w:r>
          </w:p>
          <w:p w:rsidR="007537F1" w:rsidRPr="007537F1" w:rsidRDefault="00221A03" w:rsidP="007537F1">
            <w:pPr>
              <w:jc w:val="both"/>
              <w:rPr>
                <w:u w:val="single"/>
              </w:rPr>
            </w:pPr>
            <w:r>
              <w:rPr>
                <w:bCs/>
                <w:color w:val="000000"/>
                <w:shd w:val="clear" w:color="auto" w:fill="FFFFFF"/>
              </w:rPr>
              <w:t>4</w:t>
            </w:r>
            <w:r w:rsidR="007537F1" w:rsidRPr="007537F1">
              <w:rPr>
                <w:bCs/>
                <w:color w:val="000000"/>
                <w:shd w:val="clear" w:color="auto" w:fill="FFFFFF"/>
              </w:rPr>
              <w:t xml:space="preserve">. </w:t>
            </w:r>
            <w:r w:rsidR="007537F1" w:rsidRPr="007537F1">
              <w:t xml:space="preserve">Настоящее решение подлежит опубликованию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 </w:t>
            </w:r>
            <w:proofErr w:type="spellStart"/>
            <w:r w:rsidR="007537F1" w:rsidRPr="007537F1">
              <w:rPr>
                <w:u w:val="single"/>
              </w:rPr>
              <w:t>краснокутское</w:t>
            </w:r>
            <w:proofErr w:type="gramStart"/>
            <w:r w:rsidR="007537F1" w:rsidRPr="007537F1">
              <w:rPr>
                <w:u w:val="single"/>
              </w:rPr>
              <w:t>.р</w:t>
            </w:r>
            <w:proofErr w:type="gramEnd"/>
            <w:r w:rsidR="007537F1" w:rsidRPr="007537F1">
              <w:rPr>
                <w:u w:val="single"/>
              </w:rPr>
              <w:t>ф</w:t>
            </w:r>
            <w:proofErr w:type="spellEnd"/>
          </w:p>
          <w:p w:rsidR="007537F1" w:rsidRPr="007537F1" w:rsidRDefault="00221A03" w:rsidP="007537F1">
            <w:pPr>
              <w:jc w:val="both"/>
            </w:pPr>
            <w:r>
              <w:t>5</w:t>
            </w:r>
            <w:r w:rsidR="007537F1" w:rsidRPr="007537F1">
              <w:t xml:space="preserve">. </w:t>
            </w:r>
            <w:proofErr w:type="gramStart"/>
            <w:r w:rsidR="007537F1" w:rsidRPr="007537F1">
              <w:t>Контроль за</w:t>
            </w:r>
            <w:proofErr w:type="gramEnd"/>
            <w:r w:rsidR="007537F1" w:rsidRPr="007537F1">
              <w:t xml:space="preserve"> выполнением настоящего решения оставляю за собой.</w:t>
            </w:r>
          </w:p>
          <w:p w:rsidR="007537F1" w:rsidRDefault="007537F1" w:rsidP="007537F1">
            <w:pPr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</w:p>
          <w:p w:rsidR="007537F1" w:rsidRDefault="007537F1" w:rsidP="007537F1">
            <w:pPr>
              <w:tabs>
                <w:tab w:val="left" w:pos="6480"/>
              </w:tabs>
              <w:jc w:val="both"/>
            </w:pPr>
            <w:r>
              <w:t>Глава Краснокутского                                                           А.Б. Петриченко</w:t>
            </w:r>
          </w:p>
          <w:p w:rsidR="007537F1" w:rsidRDefault="007537F1" w:rsidP="007537F1">
            <w:pPr>
              <w:jc w:val="both"/>
            </w:pPr>
            <w:r>
              <w:t>сельского поселения</w:t>
            </w:r>
          </w:p>
          <w:p w:rsidR="007537F1" w:rsidRPr="007421B0" w:rsidRDefault="007537F1" w:rsidP="007421B0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8DA" w:rsidRPr="00840A03" w:rsidRDefault="009358DA" w:rsidP="00840A03">
      <w:pPr>
        <w:ind w:left="710"/>
        <w:rPr>
          <w:sz w:val="26"/>
          <w:szCs w:val="26"/>
        </w:rPr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887E0A">
      <w:pPr>
        <w:tabs>
          <w:tab w:val="left" w:pos="690"/>
        </w:tabs>
        <w:jc w:val="center"/>
      </w:pPr>
    </w:p>
    <w:p w:rsidR="007537F1" w:rsidRDefault="007537F1" w:rsidP="00221A03">
      <w:pPr>
        <w:tabs>
          <w:tab w:val="left" w:pos="690"/>
        </w:tabs>
      </w:pPr>
    </w:p>
    <w:p w:rsidR="00221A03" w:rsidRDefault="00221A03" w:rsidP="00221A03">
      <w:pPr>
        <w:tabs>
          <w:tab w:val="left" w:pos="690"/>
        </w:tabs>
      </w:pP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right"/>
        <w:rPr>
          <w:szCs w:val="26"/>
        </w:rPr>
      </w:pPr>
      <w:r>
        <w:rPr>
          <w:sz w:val="26"/>
          <w:szCs w:val="18"/>
        </w:rPr>
        <w:lastRenderedPageBreak/>
        <w:t xml:space="preserve">        </w:t>
      </w:r>
      <w:r w:rsidR="00221A03">
        <w:rPr>
          <w:sz w:val="26"/>
          <w:szCs w:val="18"/>
        </w:rPr>
        <w:t xml:space="preserve">          </w:t>
      </w:r>
      <w:r w:rsidRPr="007537F1">
        <w:rPr>
          <w:szCs w:val="26"/>
        </w:rPr>
        <w:t xml:space="preserve">Приложение № 1 </w:t>
      </w:r>
    </w:p>
    <w:p w:rsidR="007537F1" w:rsidRP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ind w:left="5103"/>
        <w:jc w:val="right"/>
        <w:rPr>
          <w:szCs w:val="26"/>
        </w:rPr>
      </w:pPr>
      <w:r w:rsidRPr="007537F1">
        <w:rPr>
          <w:szCs w:val="26"/>
        </w:rPr>
        <w:t xml:space="preserve">к решению муниципального комитета Краснокутского сельского поселения Спасского муниципального района Приморского края </w:t>
      </w:r>
    </w:p>
    <w:p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26"/>
        </w:rPr>
      </w:pPr>
    </w:p>
    <w:p w:rsidR="007537F1" w:rsidRDefault="007537F1" w:rsidP="007537F1">
      <w:pPr>
        <w:shd w:val="clear" w:color="auto" w:fill="FFFFFF"/>
        <w:tabs>
          <w:tab w:val="left" w:pos="1080"/>
          <w:tab w:val="left" w:pos="7380"/>
        </w:tabs>
        <w:spacing w:line="228" w:lineRule="auto"/>
        <w:jc w:val="center"/>
        <w:rPr>
          <w:sz w:val="26"/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1F17AD">
        <w:rPr>
          <w:szCs w:val="26"/>
        </w:rPr>
        <w:t>ПОЛОЖЕНИЕ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1F17AD">
        <w:rPr>
          <w:szCs w:val="26"/>
        </w:rPr>
        <w:t>о налоге на имущество физических лиц на территории Краснокутского сельского поселения Спасского муниципального района Приморского края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>1. Общее положение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    1.1. Настоящим решением </w:t>
      </w:r>
      <w:proofErr w:type="gramStart"/>
      <w:r w:rsidRPr="001F17AD">
        <w:rPr>
          <w:szCs w:val="26"/>
        </w:rPr>
        <w:t>устанавливается</w:t>
      </w:r>
      <w:proofErr w:type="gramEnd"/>
      <w:r w:rsidRPr="001F17AD">
        <w:rPr>
          <w:szCs w:val="26"/>
        </w:rPr>
        <w:t xml:space="preserve"> и вводиться на территории Краснокутского сельского поселения Спасского муниципального района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   1.2. категории плательщиков, объектов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1F17AD">
        <w:rPr>
          <w:szCs w:val="26"/>
        </w:rPr>
        <w:t>налога</w:t>
      </w:r>
      <w:proofErr w:type="gramEnd"/>
      <w:r w:rsidRPr="001F17AD">
        <w:rPr>
          <w:szCs w:val="26"/>
        </w:rPr>
        <w:t xml:space="preserve">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>2. Особенности определения налоговой базы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1F17AD">
        <w:rPr>
          <w:szCs w:val="26"/>
        </w:rPr>
        <w:t>Налоговая база с 1 января 2020 года определяется в соответствии со статьей 403 «Порядок определения налоговой базы исходя из кадастровой стоимости объектов 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2020 года, являющегося налоговым периодом.</w:t>
      </w:r>
      <w:proofErr w:type="gramEnd"/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3. </w:t>
      </w:r>
      <w:proofErr w:type="gramStart"/>
      <w:r w:rsidRPr="001F17AD">
        <w:rPr>
          <w:szCs w:val="26"/>
        </w:rPr>
        <w:t>Налоговые</w:t>
      </w:r>
      <w:proofErr w:type="gramEnd"/>
      <w:r w:rsidRPr="001F17AD">
        <w:rPr>
          <w:szCs w:val="26"/>
        </w:rPr>
        <w:t xml:space="preserve"> ставка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Ставки налога на имущество физических лиц, взимаемого на территории Краснокутского сельского поселения Спасского муниципального района устанавливаются в зависимости от кадастровой стоимости объектов налогообложения, ставки налога на имущество физических лиц устанавливаются </w:t>
      </w:r>
      <w:proofErr w:type="gramStart"/>
      <w:r w:rsidRPr="001F17AD">
        <w:rPr>
          <w:szCs w:val="26"/>
        </w:rPr>
        <w:t>в</w:t>
      </w:r>
      <w:proofErr w:type="gramEnd"/>
      <w:r w:rsidRPr="001F17AD">
        <w:rPr>
          <w:szCs w:val="26"/>
        </w:rPr>
        <w:t xml:space="preserve"> следующих размера:</w:t>
      </w:r>
    </w:p>
    <w:tbl>
      <w:tblPr>
        <w:tblW w:w="1001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6833"/>
        <w:gridCol w:w="2337"/>
      </w:tblGrid>
      <w:tr w:rsidR="001F17AD" w:rsidRPr="001F17AD" w:rsidTr="00085B60">
        <w:trPr>
          <w:trHeight w:val="638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 xml:space="preserve">Объект налогообложения 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Налоговая ставка</w:t>
            </w:r>
            <w:proofErr w:type="gramStart"/>
            <w:r w:rsidRPr="001F17AD">
              <w:rPr>
                <w:szCs w:val="26"/>
              </w:rPr>
              <w:t xml:space="preserve"> (%)</w:t>
            </w:r>
            <w:proofErr w:type="gramEnd"/>
          </w:p>
        </w:tc>
      </w:tr>
      <w:tr w:rsidR="001F17AD" w:rsidRPr="001F17AD" w:rsidTr="00085B60">
        <w:trPr>
          <w:trHeight w:val="516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1F17AD" w:rsidRPr="001F17AD" w:rsidTr="00085B60">
        <w:trPr>
          <w:trHeight w:val="434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1.1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Жилой дом, часть жилого дома;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394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1.2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Квартира, часть квартиры, комната;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488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1.3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435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1.4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407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1.5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Гараж, Машино-место,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объектах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461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lastRenderedPageBreak/>
              <w:t>1.6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садовничества или индивидуального жилищного строительства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0,1</w:t>
            </w:r>
          </w:p>
        </w:tc>
      </w:tr>
      <w:tr w:rsidR="001F17AD" w:rsidRPr="001F17AD" w:rsidTr="00085B60">
        <w:trPr>
          <w:trHeight w:val="462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2.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Федерации:</w:t>
            </w:r>
          </w:p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1,1</w:t>
            </w:r>
          </w:p>
        </w:tc>
      </w:tr>
      <w:tr w:rsidR="001F17AD" w:rsidRPr="001F17AD" w:rsidTr="00085B60">
        <w:trPr>
          <w:trHeight w:val="448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3.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 xml:space="preserve">Объект налогообложения, кадастровая стоимость которого превышает 300 миллионов рублей 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2,0</w:t>
            </w:r>
          </w:p>
        </w:tc>
      </w:tr>
      <w:tr w:rsidR="001F17AD" w:rsidRPr="001F17AD" w:rsidTr="00085B60">
        <w:trPr>
          <w:trHeight w:val="638"/>
        </w:trPr>
        <w:tc>
          <w:tcPr>
            <w:tcW w:w="842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4.</w:t>
            </w:r>
          </w:p>
        </w:tc>
        <w:tc>
          <w:tcPr>
            <w:tcW w:w="6833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 xml:space="preserve">Прочие объекты налогообложения </w:t>
            </w:r>
          </w:p>
        </w:tc>
        <w:tc>
          <w:tcPr>
            <w:tcW w:w="2337" w:type="dxa"/>
          </w:tcPr>
          <w:p w:rsidR="001F17AD" w:rsidRPr="001F17AD" w:rsidRDefault="001F17AD" w:rsidP="001F17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F17AD">
              <w:rPr>
                <w:szCs w:val="26"/>
              </w:rPr>
              <w:t>0,5</w:t>
            </w:r>
          </w:p>
        </w:tc>
      </w:tr>
    </w:tbl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>4. Налоговые льготы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   4.1. Настоящим Решение</w:t>
      </w:r>
      <w:r w:rsidR="000017D4">
        <w:rPr>
          <w:szCs w:val="26"/>
        </w:rPr>
        <w:t xml:space="preserve">м </w:t>
      </w:r>
      <w:r w:rsidRPr="001F17AD">
        <w:rPr>
          <w:szCs w:val="26"/>
        </w:rPr>
        <w:t xml:space="preserve"> </w:t>
      </w:r>
      <w:r w:rsidR="000017D4">
        <w:rPr>
          <w:szCs w:val="26"/>
        </w:rPr>
        <w:t xml:space="preserve">с 1 января 2020 года </w:t>
      </w:r>
      <w:r w:rsidRPr="001F17AD">
        <w:rPr>
          <w:szCs w:val="26"/>
        </w:rPr>
        <w:t>вводятся дополнительные налоговые льготы для следующих категорий налогоплательщиков: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>1)</w:t>
      </w:r>
      <w:r w:rsidRPr="001F17AD">
        <w:rPr>
          <w:szCs w:val="26"/>
        </w:rPr>
        <w:tab/>
        <w:t>Физических лиц-членов многодетной семьи, в размере 100% в отношении одного объекта налогообложения по выбору налогоплательщика, на основании документа, подтверждающего статус многодетной семьи. Право на льготу подтверждается в соответствии со ст. 407 НК РФ»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1F17AD">
        <w:rPr>
          <w:szCs w:val="26"/>
        </w:rPr>
        <w:t xml:space="preserve">   </w:t>
      </w: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F17AD" w:rsidRPr="001F17AD" w:rsidRDefault="001F17AD" w:rsidP="001F17A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2D4A6B" w:rsidRPr="001C6AD5" w:rsidRDefault="002D4A6B" w:rsidP="00212E48">
      <w:pPr>
        <w:widowControl w:val="0"/>
        <w:autoSpaceDE w:val="0"/>
        <w:autoSpaceDN w:val="0"/>
        <w:adjustRightInd w:val="0"/>
        <w:jc w:val="both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17D4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E4AF4"/>
    <w:rsid w:val="00100437"/>
    <w:rsid w:val="00111072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1229"/>
    <w:rsid w:val="0017512D"/>
    <w:rsid w:val="00197D31"/>
    <w:rsid w:val="001A4401"/>
    <w:rsid w:val="001A7B25"/>
    <w:rsid w:val="001C51B9"/>
    <w:rsid w:val="001C6AD5"/>
    <w:rsid w:val="001F17AD"/>
    <w:rsid w:val="001F57A8"/>
    <w:rsid w:val="002034BD"/>
    <w:rsid w:val="0021231E"/>
    <w:rsid w:val="00212E48"/>
    <w:rsid w:val="002204E5"/>
    <w:rsid w:val="00221A03"/>
    <w:rsid w:val="00222D13"/>
    <w:rsid w:val="00224DCC"/>
    <w:rsid w:val="00231A5B"/>
    <w:rsid w:val="00233280"/>
    <w:rsid w:val="00234C52"/>
    <w:rsid w:val="00240A57"/>
    <w:rsid w:val="00240B4D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44E62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421B0"/>
    <w:rsid w:val="00743FDD"/>
    <w:rsid w:val="007537F1"/>
    <w:rsid w:val="0075792B"/>
    <w:rsid w:val="007718E2"/>
    <w:rsid w:val="0077258E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0A03"/>
    <w:rsid w:val="008413AB"/>
    <w:rsid w:val="00842996"/>
    <w:rsid w:val="00857E74"/>
    <w:rsid w:val="00860E84"/>
    <w:rsid w:val="00861B65"/>
    <w:rsid w:val="008648BF"/>
    <w:rsid w:val="008748B0"/>
    <w:rsid w:val="0087575F"/>
    <w:rsid w:val="00887E0A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4A42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57226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5A76"/>
    <w:rsid w:val="00F968BF"/>
    <w:rsid w:val="00F9776B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C773-D0A0-48F7-9B51-BE1E4A9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2019-10-03T02:24:00Z</cp:lastPrinted>
  <dcterms:created xsi:type="dcterms:W3CDTF">2021-02-24T02:06:00Z</dcterms:created>
  <dcterms:modified xsi:type="dcterms:W3CDTF">2021-02-24T02:06:00Z</dcterms:modified>
</cp:coreProperties>
</file>