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D7EB0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F730B0">
        <w:rPr>
          <w:b/>
        </w:rPr>
        <w:t>В.Н. Глущенко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F730B0">
        <w:rPr>
          <w:bCs/>
          <w:color w:val="26282F"/>
        </w:rPr>
        <w:t>В.Н. Глущенко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F730B0">
        <w:rPr>
          <w:bCs/>
          <w:color w:val="26282F"/>
        </w:rPr>
        <w:t>02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F730B0">
        <w:t>Глущенко Валерию Николаевичу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2D7EB0">
        <w:t>524</w:t>
      </w:r>
      <w:r w:rsidRPr="004572D7">
        <w:t xml:space="preserve"> площадью </w:t>
      </w:r>
      <w:r w:rsidR="002D7EB0">
        <w:t>44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2D7EB0">
        <w:t>189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7EA3-1493-4458-89F5-C4741EF1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2024-05-16T00:49:00Z</cp:lastPrinted>
  <dcterms:created xsi:type="dcterms:W3CDTF">2024-05-16T00:49:00Z</dcterms:created>
  <dcterms:modified xsi:type="dcterms:W3CDTF">2024-05-16T00:49:00Z</dcterms:modified>
</cp:coreProperties>
</file>